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9A79" w14:textId="77777777" w:rsidR="007B61DB" w:rsidRDefault="00432B6E">
      <w:pPr>
        <w:spacing w:after="0" w:line="240" w:lineRule="auto"/>
        <w:jc w:val="center"/>
        <w:rPr>
          <w:rFonts w:ascii="Times New Roman" w:eastAsia="Times New Roman" w:hAnsi="Times New Roman" w:cs="Times New Roman"/>
          <w:b/>
        </w:rPr>
      </w:pPr>
      <w:bookmarkStart w:id="0" w:name="_heading=h.gjdgxs" w:colFirst="0" w:colLast="0"/>
      <w:bookmarkEnd w:id="0"/>
      <w:r>
        <w:rPr>
          <w:rFonts w:ascii="Times New Roman" w:eastAsia="Times New Roman" w:hAnsi="Times New Roman" w:cs="Times New Roman"/>
          <w:b/>
        </w:rPr>
        <w:t xml:space="preserve"> SAM rādītāju metodoloģijas apraksts</w:t>
      </w:r>
    </w:p>
    <w:p w14:paraId="3275E4CE" w14:textId="77777777" w:rsidR="007B61DB" w:rsidRDefault="007B61DB">
      <w:pPr>
        <w:spacing w:after="0" w:line="240" w:lineRule="auto"/>
        <w:jc w:val="both"/>
        <w:rPr>
          <w:rFonts w:ascii="Times New Roman" w:eastAsia="Times New Roman" w:hAnsi="Times New Roman" w:cs="Times New Roman"/>
          <w:b/>
        </w:rPr>
      </w:pPr>
    </w:p>
    <w:p w14:paraId="6FD78C4C" w14:textId="77777777" w:rsidR="007B61DB" w:rsidRDefault="007B61DB">
      <w:pPr>
        <w:spacing w:after="0" w:line="240" w:lineRule="auto"/>
        <w:jc w:val="both"/>
        <w:rPr>
          <w:rFonts w:ascii="Times New Roman" w:eastAsia="Times New Roman" w:hAnsi="Times New Roman" w:cs="Times New Roman"/>
          <w:b/>
        </w:rPr>
      </w:pPr>
    </w:p>
    <w:tbl>
      <w:tblPr>
        <w:tblStyle w:val="aff4"/>
        <w:tblW w:w="8931" w:type="dxa"/>
        <w:tblLayout w:type="fixed"/>
        <w:tblLook w:val="0400" w:firstRow="0" w:lastRow="0" w:firstColumn="0" w:lastColumn="0" w:noHBand="0" w:noVBand="1"/>
      </w:tblPr>
      <w:tblGrid>
        <w:gridCol w:w="1838"/>
        <w:gridCol w:w="997"/>
        <w:gridCol w:w="2551"/>
        <w:gridCol w:w="3545"/>
      </w:tblGrid>
      <w:tr w:rsidR="007B61DB" w14:paraId="571B3ED6" w14:textId="77777777">
        <w:tc>
          <w:tcPr>
            <w:tcW w:w="1838" w:type="dxa"/>
            <w:vAlign w:val="bottom"/>
          </w:tcPr>
          <w:p w14:paraId="3B2E3B2B"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Prioritātes Nr.</w:t>
            </w:r>
          </w:p>
        </w:tc>
        <w:tc>
          <w:tcPr>
            <w:tcW w:w="997" w:type="dxa"/>
            <w:tcBorders>
              <w:bottom w:val="single" w:sz="4" w:space="0" w:color="000000"/>
            </w:tcBorders>
            <w:vAlign w:val="bottom"/>
          </w:tcPr>
          <w:p w14:paraId="77A0A85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1.1.</w:t>
            </w:r>
          </w:p>
        </w:tc>
        <w:tc>
          <w:tcPr>
            <w:tcW w:w="2551" w:type="dxa"/>
            <w:vAlign w:val="bottom"/>
          </w:tcPr>
          <w:p w14:paraId="696671D5"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Prioritātes nosaukums: </w:t>
            </w:r>
          </w:p>
        </w:tc>
        <w:tc>
          <w:tcPr>
            <w:tcW w:w="3545" w:type="dxa"/>
            <w:tcBorders>
              <w:bottom w:val="single" w:sz="4" w:space="0" w:color="000000"/>
            </w:tcBorders>
            <w:vAlign w:val="bottom"/>
          </w:tcPr>
          <w:p w14:paraId="1A29F7FC"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 un prasmes”</w:t>
            </w:r>
          </w:p>
        </w:tc>
      </w:tr>
      <w:tr w:rsidR="007B61DB" w14:paraId="5CA85DB6" w14:textId="77777777">
        <w:tc>
          <w:tcPr>
            <w:tcW w:w="1838" w:type="dxa"/>
            <w:vAlign w:val="bottom"/>
          </w:tcPr>
          <w:p w14:paraId="4B466BBD"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SAM </w:t>
            </w:r>
            <w:proofErr w:type="spellStart"/>
            <w:r>
              <w:rPr>
                <w:rFonts w:ascii="Times New Roman" w:eastAsia="Times New Roman" w:hAnsi="Times New Roman" w:cs="Times New Roman"/>
                <w:b/>
              </w:rPr>
              <w:t>Nr</w:t>
            </w:r>
            <w:proofErr w:type="spellEnd"/>
            <w:r>
              <w:rPr>
                <w:rFonts w:ascii="Times New Roman" w:eastAsia="Times New Roman" w:hAnsi="Times New Roman" w:cs="Times New Roman"/>
                <w:b/>
              </w:rPr>
              <w:t>:</w:t>
            </w:r>
          </w:p>
        </w:tc>
        <w:tc>
          <w:tcPr>
            <w:tcW w:w="997" w:type="dxa"/>
            <w:tcBorders>
              <w:top w:val="single" w:sz="4" w:space="0" w:color="000000"/>
              <w:bottom w:val="single" w:sz="4" w:space="0" w:color="000000"/>
            </w:tcBorders>
            <w:vAlign w:val="bottom"/>
          </w:tcPr>
          <w:p w14:paraId="679FFCE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1.1.1.</w:t>
            </w:r>
          </w:p>
        </w:tc>
        <w:tc>
          <w:tcPr>
            <w:tcW w:w="2551" w:type="dxa"/>
            <w:vAlign w:val="bottom"/>
          </w:tcPr>
          <w:p w14:paraId="7FB57863"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SAM nosaukums:</w:t>
            </w:r>
          </w:p>
        </w:tc>
        <w:tc>
          <w:tcPr>
            <w:tcW w:w="3545" w:type="dxa"/>
            <w:tcBorders>
              <w:top w:val="single" w:sz="4" w:space="0" w:color="000000"/>
              <w:bottom w:val="single" w:sz="4" w:space="0" w:color="000000"/>
            </w:tcBorders>
            <w:vAlign w:val="bottom"/>
          </w:tcPr>
          <w:p w14:paraId="6FD86BB1" w14:textId="77777777" w:rsidR="007B61DB" w:rsidRDefault="00432B6E">
            <w:pPr>
              <w:spacing w:after="0" w:line="240" w:lineRule="auto"/>
              <w:rPr>
                <w:rFonts w:ascii="Times New Roman" w:eastAsia="Times New Roman" w:hAnsi="Times New Roman" w:cs="Times New Roman"/>
                <w:b/>
              </w:rPr>
            </w:pPr>
            <w:r>
              <w:rPr>
                <w:rFonts w:ascii="Times New Roman" w:eastAsia="Times New Roman" w:hAnsi="Times New Roman" w:cs="Times New Roman"/>
                <w:b/>
              </w:rPr>
              <w:t>“Pētniecības un inovāciju kapacitātes stiprināšana un progresīvu tehnoloģiju ieviešana kopējā P&amp;A sistēmā”</w:t>
            </w:r>
          </w:p>
        </w:tc>
      </w:tr>
    </w:tbl>
    <w:p w14:paraId="421FE50F" w14:textId="77777777" w:rsidR="007B61DB" w:rsidRDefault="007B61DB">
      <w:pPr>
        <w:spacing w:after="0" w:line="240" w:lineRule="auto"/>
        <w:jc w:val="both"/>
        <w:rPr>
          <w:rFonts w:ascii="Times New Roman" w:eastAsia="Times New Roman" w:hAnsi="Times New Roman" w:cs="Times New Roman"/>
          <w:sz w:val="20"/>
          <w:szCs w:val="20"/>
        </w:rPr>
      </w:pPr>
    </w:p>
    <w:tbl>
      <w:tblPr>
        <w:tblStyle w:val="aff5"/>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613AE5D7" w14:textId="77777777">
        <w:tc>
          <w:tcPr>
            <w:tcW w:w="1995" w:type="dxa"/>
          </w:tcPr>
          <w:p w14:paraId="5CA3576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15CD3E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06</w:t>
            </w:r>
          </w:p>
        </w:tc>
      </w:tr>
      <w:tr w:rsidR="007B61DB" w14:paraId="53019C5A" w14:textId="77777777">
        <w:trPr>
          <w:trHeight w:val="245"/>
        </w:trPr>
        <w:tc>
          <w:tcPr>
            <w:tcW w:w="1995" w:type="dxa"/>
          </w:tcPr>
          <w:p w14:paraId="2B90528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5ABB002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Atbalstītajos pētniecības objektos strādājošie pētnieki</w:t>
            </w:r>
          </w:p>
        </w:tc>
      </w:tr>
      <w:tr w:rsidR="007B61DB" w14:paraId="3891B0E5" w14:textId="77777777">
        <w:tc>
          <w:tcPr>
            <w:tcW w:w="1995" w:type="dxa"/>
          </w:tcPr>
          <w:p w14:paraId="7FD80DC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1E95400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Pētnieku skaits, kuri savā darbības jomā tieši izmanto pētniecības iestādi vai aprīkojumu, par kuru piešķir atbalstu.</w:t>
            </w:r>
            <w:r>
              <w:rPr>
                <w:rFonts w:ascii="Times New Roman" w:eastAsia="Times New Roman" w:hAnsi="Times New Roman" w:cs="Times New Roman"/>
                <w:sz w:val="20"/>
                <w:szCs w:val="20"/>
                <w:vertAlign w:val="superscript"/>
              </w:rPr>
              <w:footnoteReference w:id="1"/>
            </w:r>
            <w:r>
              <w:rPr>
                <w:rFonts w:ascii="Times New Roman" w:eastAsia="Times New Roman" w:hAnsi="Times New Roman" w:cs="Times New Roman"/>
                <w:sz w:val="20"/>
                <w:szCs w:val="20"/>
              </w:rPr>
              <w:t xml:space="preserve"> </w:t>
            </w:r>
          </w:p>
          <w:p w14:paraId="5EC6BB0A"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Rādītāju mēra pēc gada pilna laika ekvivalentiem (</w:t>
            </w:r>
            <w:proofErr w:type="spellStart"/>
            <w:r>
              <w:rPr>
                <w:rFonts w:ascii="Times New Roman" w:eastAsia="Times New Roman" w:hAnsi="Times New Roman" w:cs="Times New Roman"/>
                <w:sz w:val="20"/>
                <w:szCs w:val="20"/>
              </w:rPr>
              <w:t>FTEs</w:t>
            </w:r>
            <w:proofErr w:type="spellEnd"/>
            <w:r>
              <w:rPr>
                <w:rFonts w:ascii="Times New Roman" w:eastAsia="Times New Roman" w:hAnsi="Times New Roman" w:cs="Times New Roman"/>
                <w:sz w:val="20"/>
                <w:szCs w:val="20"/>
              </w:rPr>
              <w:t xml:space="preserve">), kas aprēķināti saskaņā ar OECD </w:t>
            </w:r>
            <w:proofErr w:type="spellStart"/>
            <w:r>
              <w:rPr>
                <w:rFonts w:ascii="Times New Roman" w:eastAsia="Times New Roman" w:hAnsi="Times New Roman" w:cs="Times New Roman"/>
                <w:sz w:val="20"/>
                <w:szCs w:val="20"/>
              </w:rPr>
              <w:t>Frascati</w:t>
            </w:r>
            <w:proofErr w:type="spellEnd"/>
            <w:r>
              <w:rPr>
                <w:rFonts w:ascii="Times New Roman" w:eastAsia="Times New Roman" w:hAnsi="Times New Roman" w:cs="Times New Roman"/>
                <w:sz w:val="20"/>
                <w:szCs w:val="20"/>
              </w:rPr>
              <w:t xml:space="preserve"> rokasgrāmatā 2015 sniegto metodiku. </w:t>
            </w:r>
          </w:p>
          <w:p w14:paraId="09024EB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Projektam jāuzlabo pētniecības iekārta vai pētniecības aprīkojuma kvalitāte. Tiek izslēgtas nomaiņas bez kvalitātes paaugstināšanas, tāpat kā apkope. Pētniecības iestāde var būt valsts vai privāta. Vakantās pētniecības un attīstības vietas netiek ieskaitītas, un neviens no tām nav pētniecības un attīstības atbalsta personāls (t.i., amati, kas nav tieši iesaistīti pētniecības un izstrādes darbībās). Ja objektā tiešā projekta rezultātā tiek nodarbināti vairāk pētnieku (t.i., brīvas vietas vai izveidotas jaunas amata vietas), jaunie pētnieki tiek ieskaitīti RCR 102 - Pētniecības darba vietas atbalstītajās vienībās. Pētniecības un attīstības personāla gada pilnslodzes ekvivalents tiek definēts kā darba laika, kas faktiski pavadīts pētniecībai un attīstībai kalendārā gada laikā, attiecība pret kopējo stundu skaitu, ko tajā pašā periodā parasti nostrādāja indivīds vai grupa. Pēc vienošanās persona gadā nevar veikt vairāk kā vienu pilnslodzes ekvivalentu pētniecībā un attīstībā. Parasto nostrādāto stundu skaitu nosaka, pamatojoties uz normatīvo / likumā noteikto darba laiku. Pilna laika persona tiks identificēta, ņemot vērā viņu nodarbinātības statusu, līguma veidu (pilna vai nepilna laika) un iesaistīšanās līmeni pētniecībā un attīstībā (sk. OECD atsauces 5.3. nodaļu).</w:t>
            </w:r>
          </w:p>
        </w:tc>
      </w:tr>
      <w:tr w:rsidR="007B61DB" w14:paraId="301FFC1C" w14:textId="77777777">
        <w:tc>
          <w:tcPr>
            <w:tcW w:w="1995" w:type="dxa"/>
          </w:tcPr>
          <w:p w14:paraId="483C1DC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45502EC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F1286F3" w14:textId="77777777">
        <w:tc>
          <w:tcPr>
            <w:tcW w:w="1995" w:type="dxa"/>
          </w:tcPr>
          <w:p w14:paraId="56179A4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6285B8E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Pētnieku skaits atbalstītajās vienībās (pilnas slodzes ekvivalents)</w:t>
            </w:r>
          </w:p>
        </w:tc>
      </w:tr>
      <w:tr w:rsidR="007B61DB" w14:paraId="75DBBAF9" w14:textId="77777777">
        <w:tc>
          <w:tcPr>
            <w:tcW w:w="1995" w:type="dxa"/>
          </w:tcPr>
          <w:p w14:paraId="44CFF1B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7879DB3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0C14B41F" w14:textId="77777777">
        <w:tc>
          <w:tcPr>
            <w:tcW w:w="1995" w:type="dxa"/>
          </w:tcPr>
          <w:p w14:paraId="09A0D52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7A1ED66B" w14:textId="43A1F5BE" w:rsidR="007B61DB" w:rsidRDefault="00BF76FB">
            <w:pPr>
              <w:spacing w:after="0" w:line="240" w:lineRule="auto"/>
              <w:jc w:val="both"/>
              <w:rPr>
                <w:rFonts w:ascii="Times New Roman" w:eastAsia="Times New Roman" w:hAnsi="Times New Roman" w:cs="Times New Roman"/>
                <w:sz w:val="20"/>
                <w:szCs w:val="20"/>
              </w:rPr>
            </w:pPr>
            <w:sdt>
              <w:sdtPr>
                <w:tag w:val="goog_rdk_1"/>
                <w:id w:val="-319122643"/>
              </w:sdtPr>
              <w:sdtEndPr/>
              <w:sdtContent>
                <w:r w:rsidR="00432B6E">
                  <w:rPr>
                    <w:rFonts w:ascii="Times New Roman" w:eastAsia="Times New Roman" w:hAnsi="Times New Roman" w:cs="Times New Roman"/>
                    <w:sz w:val="20"/>
                    <w:szCs w:val="20"/>
                  </w:rPr>
                  <w:t>136</w:t>
                </w:r>
              </w:sdtContent>
            </w:sdt>
            <w:sdt>
              <w:sdtPr>
                <w:tag w:val="goog_rdk_2"/>
                <w:id w:val="1943647060"/>
                <w:showingPlcHdr/>
              </w:sdtPr>
              <w:sdtEndPr/>
              <w:sdtContent>
                <w:r w:rsidR="00682042">
                  <w:t xml:space="preserve">     </w:t>
                </w:r>
              </w:sdtContent>
            </w:sdt>
          </w:p>
        </w:tc>
      </w:tr>
      <w:tr w:rsidR="007B61DB" w14:paraId="60E68773" w14:textId="77777777">
        <w:tc>
          <w:tcPr>
            <w:tcW w:w="1995" w:type="dxa"/>
          </w:tcPr>
          <w:p w14:paraId="114EB67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13B9FB33" w14:textId="49D50669" w:rsidR="007B61DB" w:rsidRDefault="00813B1E" w:rsidP="00813B1E">
            <w:pPr>
              <w:spacing w:after="0" w:line="240" w:lineRule="auto"/>
              <w:jc w:val="both"/>
              <w:rPr>
                <w:rFonts w:ascii="Times New Roman" w:eastAsia="Times New Roman" w:hAnsi="Times New Roman" w:cs="Times New Roman"/>
                <w:sz w:val="20"/>
                <w:szCs w:val="20"/>
              </w:rPr>
            </w:pPr>
            <w:r w:rsidRPr="00937FAF">
              <w:rPr>
                <w:rFonts w:ascii="Times New Roman" w:eastAsia="Times New Roman" w:hAnsi="Times New Roman" w:cs="Times New Roman"/>
                <w:sz w:val="20"/>
                <w:szCs w:val="20"/>
              </w:rPr>
              <w:t>265</w:t>
            </w:r>
            <w:r>
              <w:rPr>
                <w:rFonts w:ascii="Times New Roman" w:eastAsia="Times New Roman" w:hAnsi="Times New Roman" w:cs="Times New Roman"/>
                <w:sz w:val="20"/>
                <w:szCs w:val="20"/>
              </w:rPr>
              <w:t xml:space="preserve"> </w:t>
            </w:r>
          </w:p>
        </w:tc>
      </w:tr>
      <w:tr w:rsidR="007B61DB" w14:paraId="0EB69595" w14:textId="77777777">
        <w:tc>
          <w:tcPr>
            <w:tcW w:w="1995" w:type="dxa"/>
            <w:vMerge w:val="restart"/>
          </w:tcPr>
          <w:p w14:paraId="06E7424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2"/>
            </w:r>
          </w:p>
          <w:p w14:paraId="70E5C500"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39C387D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1D3EF9E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404FE1D"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1E955C0E"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62F93D6E" w14:textId="77777777" w:rsidR="007B61DB" w:rsidRDefault="00432B6E">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w:t>
            </w:r>
            <w:r>
              <w:rPr>
                <w:rFonts w:ascii="Times New Roman" w:eastAsia="Times New Roman" w:hAnsi="Times New Roman" w:cs="Times New Roman"/>
                <w:color w:val="000000"/>
                <w:sz w:val="20"/>
                <w:szCs w:val="20"/>
              </w:rPr>
              <w:t>a.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67760F3C" w14:textId="77777777">
        <w:trPr>
          <w:trHeight w:val="437"/>
        </w:trPr>
        <w:tc>
          <w:tcPr>
            <w:tcW w:w="1995" w:type="dxa"/>
            <w:vMerge/>
          </w:tcPr>
          <w:p w14:paraId="0D9528D5"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2E4C339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3"/>
            </w:r>
          </w:p>
          <w:p w14:paraId="3C641B3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par pētniecībā tieši iesaistīto personu skaitu pētniecības centros; Projektu dati.</w:t>
            </w:r>
          </w:p>
        </w:tc>
      </w:tr>
      <w:tr w:rsidR="007B61DB" w14:paraId="13F6D571" w14:textId="77777777">
        <w:trPr>
          <w:trHeight w:val="437"/>
        </w:trPr>
        <w:tc>
          <w:tcPr>
            <w:tcW w:w="1995" w:type="dxa"/>
            <w:vMerge/>
          </w:tcPr>
          <w:p w14:paraId="37335859"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47D1293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E272FD9" w14:textId="77777777" w:rsidR="007B61DB" w:rsidRDefault="007B61DB">
            <w:pPr>
              <w:spacing w:after="0" w:line="240" w:lineRule="auto"/>
              <w:jc w:val="both"/>
              <w:rPr>
                <w:rFonts w:ascii="Times New Roman" w:eastAsia="Times New Roman" w:hAnsi="Times New Roman" w:cs="Times New Roman"/>
                <w:b/>
                <w:sz w:val="20"/>
                <w:szCs w:val="20"/>
              </w:rPr>
            </w:pPr>
          </w:p>
          <w:p w14:paraId="00635DE5" w14:textId="4E4F714D"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ka MK noteikumus plānots MK apstiprināt līdz 202</w:t>
            </w:r>
            <w:sdt>
              <w:sdtPr>
                <w:tag w:val="goog_rdk_3"/>
                <w:id w:val="179941234"/>
              </w:sdtPr>
              <w:sdtEndPr/>
              <w:sdtContent>
                <w:r>
                  <w:rPr>
                    <w:rFonts w:ascii="Times New Roman" w:eastAsia="Times New Roman" w:hAnsi="Times New Roman" w:cs="Times New Roman"/>
                    <w:sz w:val="20"/>
                    <w:szCs w:val="20"/>
                  </w:rPr>
                  <w:t>2</w:t>
                </w:r>
              </w:sdtContent>
            </w:sdt>
            <w:sdt>
              <w:sdtPr>
                <w:tag w:val="goog_rdk_4"/>
                <w:id w:val="-76669123"/>
                <w:showingPlcHdr/>
              </w:sdtPr>
              <w:sdtEndPr/>
              <w:sdtContent>
                <w:r w:rsidR="00682042">
                  <w:t xml:space="preserve">     </w:t>
                </w:r>
              </w:sdtContent>
            </w:sdt>
            <w:r>
              <w:rPr>
                <w:rFonts w:ascii="Times New Roman" w:eastAsia="Times New Roman" w:hAnsi="Times New Roman" w:cs="Times New Roman"/>
                <w:sz w:val="20"/>
                <w:szCs w:val="20"/>
              </w:rPr>
              <w:t>. gada</w:t>
            </w:r>
            <w:sdt>
              <w:sdtPr>
                <w:tag w:val="goog_rdk_5"/>
                <w:id w:val="-1263302122"/>
                <w:showingPlcHdr/>
              </w:sdtPr>
              <w:sdtEndPr/>
              <w:sdtContent>
                <w:r w:rsidR="00682042">
                  <w:t xml:space="preserve">     </w:t>
                </w:r>
              </w:sdtContent>
            </w:sdt>
            <w:sdt>
              <w:sdtPr>
                <w:tag w:val="goog_rdk_6"/>
                <w:id w:val="-929896782"/>
              </w:sdtPr>
              <w:sdtEndPr/>
              <w:sdtContent>
                <w:r>
                  <w:rPr>
                    <w:rFonts w:ascii="Times New Roman" w:eastAsia="Times New Roman" w:hAnsi="Times New Roman" w:cs="Times New Roman"/>
                    <w:sz w:val="20"/>
                    <w:szCs w:val="20"/>
                  </w:rPr>
                  <w:t xml:space="preserve"> beigām un šobrīd ir 2 potenciālie finansējuma saņēmēji,</w:t>
                </w:r>
              </w:sdtContent>
            </w:sdt>
            <w:r>
              <w:rPr>
                <w:rFonts w:ascii="Times New Roman" w:eastAsia="Times New Roman" w:hAnsi="Times New Roman" w:cs="Times New Roman"/>
                <w:sz w:val="20"/>
                <w:szCs w:val="20"/>
              </w:rPr>
              <w:t xml:space="preserve"> starpposma vērtība uz 31.12.2024. gadu ir </w:t>
            </w:r>
            <w:sdt>
              <w:sdtPr>
                <w:tag w:val="goog_rdk_7"/>
                <w:id w:val="-1372226718"/>
              </w:sdtPr>
              <w:sdtEndPr/>
              <w:sdtContent>
                <w:r>
                  <w:rPr>
                    <w:rFonts w:ascii="Times New Roman" w:eastAsia="Times New Roman" w:hAnsi="Times New Roman" w:cs="Times New Roman"/>
                    <w:sz w:val="20"/>
                    <w:szCs w:val="20"/>
                  </w:rPr>
                  <w:t xml:space="preserve">noteikta </w:t>
                </w:r>
              </w:sdtContent>
            </w:sdt>
            <w:r>
              <w:rPr>
                <w:rFonts w:ascii="Times New Roman" w:eastAsia="Times New Roman" w:hAnsi="Times New Roman" w:cs="Times New Roman"/>
                <w:sz w:val="20"/>
                <w:szCs w:val="20"/>
              </w:rPr>
              <w:t>“</w:t>
            </w:r>
            <w:sdt>
              <w:sdtPr>
                <w:tag w:val="goog_rdk_8"/>
                <w:id w:val="-1352874905"/>
              </w:sdtPr>
              <w:sdtEndPr/>
              <w:sdtContent>
                <w:r>
                  <w:rPr>
                    <w:rFonts w:ascii="Times New Roman" w:eastAsia="Times New Roman" w:hAnsi="Times New Roman" w:cs="Times New Roman"/>
                    <w:sz w:val="20"/>
                    <w:szCs w:val="20"/>
                  </w:rPr>
                  <w:t>136</w:t>
                </w:r>
              </w:sdtContent>
            </w:sdt>
            <w:r>
              <w:rPr>
                <w:rFonts w:ascii="Times New Roman" w:eastAsia="Times New Roman" w:hAnsi="Times New Roman" w:cs="Times New Roman"/>
                <w:sz w:val="20"/>
                <w:szCs w:val="20"/>
              </w:rPr>
              <w:t xml:space="preserve">”. </w:t>
            </w:r>
          </w:p>
          <w:p w14:paraId="7F15C74B" w14:textId="77777777" w:rsidR="007B61DB" w:rsidRDefault="007B61DB">
            <w:pPr>
              <w:spacing w:after="0" w:line="240" w:lineRule="auto"/>
              <w:jc w:val="both"/>
              <w:rPr>
                <w:rFonts w:ascii="Times New Roman" w:eastAsia="Times New Roman" w:hAnsi="Times New Roman" w:cs="Times New Roman"/>
                <w:b/>
                <w:sz w:val="20"/>
                <w:szCs w:val="20"/>
              </w:rPr>
            </w:pPr>
          </w:p>
          <w:p w14:paraId="018B95C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62FE2CE3" w14:textId="77777777" w:rsidR="007B61DB" w:rsidRDefault="007B61DB">
            <w:pPr>
              <w:spacing w:after="0" w:line="240" w:lineRule="auto"/>
              <w:jc w:val="both"/>
              <w:rPr>
                <w:rFonts w:ascii="Times New Roman" w:eastAsia="Times New Roman" w:hAnsi="Times New Roman" w:cs="Times New Roman"/>
                <w:sz w:val="20"/>
                <w:szCs w:val="20"/>
              </w:rPr>
            </w:pPr>
          </w:p>
          <w:sdt>
            <w:sdtPr>
              <w:tag w:val="goog_rdk_11"/>
              <w:id w:val="1543784845"/>
            </w:sdtPr>
            <w:sdtEndPr/>
            <w:sdtContent>
              <w:p w14:paraId="4C0CFDBF" w14:textId="008D670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P2029 = [vidējais PLE skaits vienā centrā]*[ekselences centru skaits]*[pieaugums 2029.g. 30%] = (68*</w:t>
                </w:r>
                <w:r w:rsidR="00937FAF">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*1,3) = </w:t>
                </w:r>
                <w:r w:rsidR="00937FAF" w:rsidRPr="00937FAF">
                  <w:rPr>
                    <w:rFonts w:ascii="Times New Roman" w:eastAsia="Times New Roman" w:hAnsi="Times New Roman" w:cs="Times New Roman"/>
                    <w:sz w:val="20"/>
                    <w:szCs w:val="20"/>
                  </w:rPr>
                  <w:t>265</w:t>
                </w:r>
                <w:r w:rsidR="00937FA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PLE </w:t>
                </w:r>
                <w:sdt>
                  <w:sdtPr>
                    <w:tag w:val="goog_rdk_10"/>
                    <w:id w:val="-535196144"/>
                    <w:showingPlcHdr/>
                  </w:sdtPr>
                  <w:sdtEndPr/>
                  <w:sdtContent>
                    <w:r w:rsidR="00881EAC">
                      <w:t xml:space="preserve">     </w:t>
                    </w:r>
                  </w:sdtContent>
                </w:sdt>
              </w:p>
            </w:sdtContent>
          </w:sdt>
          <w:p w14:paraId="296F624D" w14:textId="77777777" w:rsidR="007B61DB" w:rsidRDefault="007B61DB">
            <w:pPr>
              <w:spacing w:after="0" w:line="240" w:lineRule="auto"/>
              <w:jc w:val="both"/>
              <w:rPr>
                <w:rFonts w:ascii="Times New Roman" w:eastAsia="Times New Roman" w:hAnsi="Times New Roman" w:cs="Times New Roman"/>
                <w:sz w:val="20"/>
                <w:szCs w:val="20"/>
              </w:rPr>
            </w:pPr>
          </w:p>
          <w:sdt>
            <w:sdtPr>
              <w:tag w:val="goog_rdk_14"/>
              <w:id w:val="-336613598"/>
            </w:sdtPr>
            <w:sdtEndPr/>
            <w:sdtContent>
              <w:p w14:paraId="311AFC9D" w14:textId="77777777" w:rsidR="007B61DB" w:rsidRDefault="00BF76FB">
                <w:pPr>
                  <w:spacing w:after="0" w:line="240" w:lineRule="auto"/>
                  <w:jc w:val="both"/>
                  <w:rPr>
                    <w:rFonts w:ascii="Times New Roman" w:eastAsia="Times New Roman" w:hAnsi="Times New Roman" w:cs="Times New Roman"/>
                    <w:sz w:val="20"/>
                    <w:szCs w:val="20"/>
                  </w:rPr>
                </w:pPr>
                <w:sdt>
                  <w:sdtPr>
                    <w:tag w:val="goog_rdk_13"/>
                    <w:id w:val="-71886982"/>
                  </w:sdtPr>
                  <w:sdtEndPr/>
                  <w:sdtContent>
                    <w:r w:rsidR="00432B6E">
                      <w:rPr>
                        <w:rFonts w:ascii="Times New Roman" w:eastAsia="Times New Roman" w:hAnsi="Times New Roman" w:cs="Times New Roman"/>
                        <w:sz w:val="20"/>
                        <w:szCs w:val="20"/>
                      </w:rPr>
                      <w:t xml:space="preserve">P2024 = [vidējais PLE skaits vienā centrā]*[ekselences centru skaits] = (68*2) = 136 PLE </w:t>
                    </w:r>
                  </w:sdtContent>
                </w:sdt>
              </w:p>
            </w:sdtContent>
          </w:sdt>
          <w:p w14:paraId="7359E84D" w14:textId="77777777" w:rsidR="007B61DB" w:rsidRDefault="007B61DB">
            <w:pPr>
              <w:spacing w:after="0" w:line="240" w:lineRule="auto"/>
              <w:jc w:val="both"/>
              <w:rPr>
                <w:rFonts w:ascii="Times New Roman" w:eastAsia="Times New Roman" w:hAnsi="Times New Roman" w:cs="Times New Roman"/>
                <w:sz w:val="20"/>
                <w:szCs w:val="20"/>
              </w:rPr>
            </w:pPr>
          </w:p>
          <w:p w14:paraId="5B31C6E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1FA9AD7F" w14:textId="77777777" w:rsidR="007B61DB" w:rsidRDefault="00432B6E">
            <w:pPr>
              <w:numPr>
                <w:ilvl w:val="0"/>
                <w:numId w:val="16"/>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2020.gadā šādos pētniecības centros - CAMART2 (</w:t>
            </w:r>
            <w:proofErr w:type="spellStart"/>
            <w:r>
              <w:rPr>
                <w:rFonts w:ascii="Times New Roman" w:eastAsia="Times New Roman" w:hAnsi="Times New Roman" w:cs="Times New Roman"/>
                <w:sz w:val="20"/>
                <w:szCs w:val="20"/>
              </w:rPr>
              <w:t>Centre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of</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Advanced</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Materials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Research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Technology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Transfer</w:t>
            </w:r>
            <w:proofErr w:type="spellEnd"/>
            <w:r>
              <w:rPr>
                <w:rFonts w:ascii="Times New Roman" w:eastAsia="Times New Roman" w:hAnsi="Times New Roman" w:cs="Times New Roman"/>
                <w:sz w:val="20"/>
                <w:szCs w:val="20"/>
              </w:rPr>
              <w:t xml:space="preserve">) un Baltijas </w:t>
            </w:r>
            <w:proofErr w:type="spellStart"/>
            <w:r>
              <w:rPr>
                <w:rFonts w:ascii="Times New Roman" w:eastAsia="Times New Roman" w:hAnsi="Times New Roman" w:cs="Times New Roman"/>
                <w:sz w:val="20"/>
                <w:szCs w:val="20"/>
              </w:rPr>
              <w:t>Biomateriālu</w:t>
            </w:r>
            <w:proofErr w:type="spellEnd"/>
            <w:r>
              <w:rPr>
                <w:rFonts w:ascii="Times New Roman" w:eastAsia="Times New Roman" w:hAnsi="Times New Roman" w:cs="Times New Roman"/>
                <w:sz w:val="20"/>
                <w:szCs w:val="20"/>
              </w:rPr>
              <w:t xml:space="preserve"> ekselences centrs (</w:t>
            </w:r>
            <w:proofErr w:type="spellStart"/>
            <w:r>
              <w:rPr>
                <w:rFonts w:ascii="Times New Roman" w:eastAsia="Times New Roman" w:hAnsi="Times New Roman" w:cs="Times New Roman"/>
                <w:sz w:val="20"/>
                <w:szCs w:val="20"/>
              </w:rPr>
              <w:t>The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Baltic</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Biomaterials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Centre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of</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Excellence</w:t>
            </w:r>
            <w:proofErr w:type="spellEnd"/>
            <w:r>
              <w:rPr>
                <w:rFonts w:ascii="Times New Roman" w:eastAsia="Times New Roman" w:hAnsi="Times New Roman" w:cs="Times New Roman"/>
                <w:sz w:val="20"/>
                <w:szCs w:val="20"/>
              </w:rPr>
              <w:t>) - vidējais pētniecībā tieši iesaistīto personu (zinātniskais personāls un zinātnes tehniskais personāls) skaits ir 68 PLE izteiksmē.</w:t>
            </w:r>
          </w:p>
          <w:p w14:paraId="4B719F7A" w14:textId="50550C92" w:rsidR="007B61DB" w:rsidRDefault="00432B6E">
            <w:pPr>
              <w:numPr>
                <w:ilvl w:val="0"/>
                <w:numId w:val="16"/>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Plānots līdz 2029.gadam izveidot </w:t>
            </w:r>
            <w:r w:rsidR="00937FAF">
              <w:rPr>
                <w:rFonts w:ascii="Times New Roman" w:eastAsia="Times New Roman" w:hAnsi="Times New Roman" w:cs="Times New Roman"/>
                <w:sz w:val="20"/>
                <w:szCs w:val="20"/>
              </w:rPr>
              <w:t xml:space="preserve">trīs </w:t>
            </w:r>
            <w:r>
              <w:rPr>
                <w:rFonts w:ascii="Times New Roman" w:eastAsia="Times New Roman" w:hAnsi="Times New Roman" w:cs="Times New Roman"/>
                <w:sz w:val="20"/>
                <w:szCs w:val="20"/>
              </w:rPr>
              <w:t>RIS3 pētniecības un inovācijas centrus RIS3 jomās.</w:t>
            </w:r>
          </w:p>
          <w:p w14:paraId="60FFE9F4" w14:textId="77777777" w:rsidR="007B61DB" w:rsidRDefault="00432B6E">
            <w:pPr>
              <w:widowControl w:val="0"/>
              <w:numPr>
                <w:ilvl w:val="0"/>
                <w:numId w:val="16"/>
              </w:numPr>
              <w:pBdr>
                <w:top w:val="nil"/>
                <w:left w:val="nil"/>
                <w:bottom w:val="nil"/>
                <w:right w:val="nil"/>
                <w:between w:val="nil"/>
              </w:pBd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Plānots pētniecībā tieši iesaistīto skaitu līdz 2027.gadam palielināt par 3% un līdz 2029.gadam par 30%, salīdzinot ar 2020.gadu. </w:t>
            </w:r>
          </w:p>
          <w:p w14:paraId="54BF1F4A" w14:textId="77777777" w:rsidR="007B61DB" w:rsidRDefault="007B61DB">
            <w:pPr>
              <w:widowControl w:val="0"/>
              <w:numPr>
                <w:ilvl w:val="0"/>
                <w:numId w:val="8"/>
              </w:numPr>
              <w:pBdr>
                <w:top w:val="nil"/>
                <w:left w:val="nil"/>
                <w:bottom w:val="nil"/>
                <w:right w:val="nil"/>
                <w:between w:val="nil"/>
              </w:pBdr>
              <w:spacing w:after="0" w:line="240" w:lineRule="auto"/>
              <w:ind w:left="0" w:hanging="295"/>
              <w:jc w:val="both"/>
              <w:rPr>
                <w:rFonts w:ascii="Times New Roman" w:eastAsia="Times New Roman" w:hAnsi="Times New Roman" w:cs="Times New Roman"/>
                <w:sz w:val="20"/>
                <w:szCs w:val="20"/>
              </w:rPr>
            </w:pPr>
            <w:bookmarkStart w:id="1" w:name="_heading=h.1fob9te" w:colFirst="0" w:colLast="0"/>
            <w:bookmarkEnd w:id="1"/>
          </w:p>
          <w:p w14:paraId="43203811" w14:textId="77777777" w:rsidR="007B61DB" w:rsidRDefault="00432B6E">
            <w:pPr>
              <w:widowControl w:val="0"/>
              <w:numPr>
                <w:ilvl w:val="0"/>
                <w:numId w:val="8"/>
              </w:numPr>
              <w:pBdr>
                <w:top w:val="nil"/>
                <w:left w:val="nil"/>
                <w:bottom w:val="nil"/>
                <w:right w:val="nil"/>
                <w:between w:val="nil"/>
              </w:pBdr>
              <w:spacing w:after="0" w:line="240" w:lineRule="auto"/>
              <w:ind w:left="0" w:hanging="29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Pieņēmumus pamato šādi apsvērumi</w:t>
            </w:r>
          </w:p>
          <w:p w14:paraId="4613CA61" w14:textId="77777777" w:rsidR="007B61DB" w:rsidRDefault="00432B6E">
            <w:pPr>
              <w:widowControl w:val="0"/>
              <w:numPr>
                <w:ilvl w:val="0"/>
                <w:numId w:val="1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Laika periodā līdz 2025. gadam plānots: </w:t>
            </w:r>
          </w:p>
          <w:p w14:paraId="0047BBCA" w14:textId="77777777" w:rsidR="007B61DB" w:rsidRDefault="00432B6E">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Izstrādāt un MK apstiprināt MK noteikumus par atbalsta programmu pētniecības un inovācijas centru izveidei un to darbībai nepieciešamās pētniecības infrastruktūras modernizācijai.</w:t>
            </w:r>
          </w:p>
          <w:p w14:paraId="5AFBF1F9" w14:textId="77777777" w:rsidR="007B61DB" w:rsidRDefault="00432B6E">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Apstiprināt pētniecības </w:t>
            </w:r>
            <w:proofErr w:type="spellStart"/>
            <w:r>
              <w:rPr>
                <w:rFonts w:ascii="Times New Roman" w:eastAsia="Times New Roman" w:hAnsi="Times New Roman" w:cs="Times New Roman"/>
                <w:color w:val="000000"/>
                <w:sz w:val="20"/>
                <w:szCs w:val="20"/>
              </w:rPr>
              <w:t>pētniecības</w:t>
            </w:r>
            <w:proofErr w:type="spellEnd"/>
            <w:r>
              <w:rPr>
                <w:rFonts w:ascii="Times New Roman" w:eastAsia="Times New Roman" w:hAnsi="Times New Roman" w:cs="Times New Roman"/>
                <w:color w:val="000000"/>
                <w:sz w:val="20"/>
                <w:szCs w:val="20"/>
              </w:rPr>
              <w:t xml:space="preserve"> un inovācijas centru attīstības stratēģijas.</w:t>
            </w:r>
          </w:p>
          <w:p w14:paraId="0E7EC324" w14:textId="77777777" w:rsidR="007B61DB" w:rsidRDefault="00432B6E">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Pētniecības infrastruktūras modernizācijas projektu īstenošana un pētniecības un inovācijas centru izveide iespējama tikai pēc MK noteikumu un pētniecības un inovācijas centru stratēģiju apstiprināšanas.</w:t>
            </w:r>
          </w:p>
          <w:p w14:paraId="3010EA3C" w14:textId="77777777" w:rsidR="007B61DB" w:rsidRDefault="00432B6E">
            <w:pPr>
              <w:widowControl w:val="0"/>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Projektu īstenošanas sākumā plānota zinātniskās infrastruktūras iegāde, līdz ar to līdz 2027.gadam pētniecībā tieši iesaistīto pētnieku skaita pieaugums būs neliels (3%). Modernizētās infrastruktūras izmantošana iespējama pēc tās nodošanas ekspluatācijā un uzņemšanas bilancē. Ievērojot minēto, iznākuma rādītāja izpilde dominējoši plānota uz 2029.gada trešo ceturksni. Pētnieku skaita pieaugums noteikts, ņemot vērā CAMART2 un BBEC datus un prognozes.</w:t>
            </w:r>
          </w:p>
        </w:tc>
      </w:tr>
      <w:tr w:rsidR="007B61DB" w14:paraId="192054FB" w14:textId="77777777">
        <w:trPr>
          <w:trHeight w:val="437"/>
        </w:trPr>
        <w:tc>
          <w:tcPr>
            <w:tcW w:w="1995" w:type="dxa"/>
            <w:vMerge/>
          </w:tcPr>
          <w:p w14:paraId="7F671B2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1889AF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0AE488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RIS3 pētniecības un inovācijas centru infrastruktūras izveides vai modernizācijas rezultātā palielinās personu ar atbilstošu zinātnisko un profesionālo kvalifikāciju motivācija pievērsties zinātniskajam darbam.</w:t>
            </w:r>
          </w:p>
        </w:tc>
      </w:tr>
      <w:tr w:rsidR="007B61DB" w14:paraId="53F04CF1" w14:textId="77777777">
        <w:trPr>
          <w:trHeight w:val="437"/>
        </w:trPr>
        <w:tc>
          <w:tcPr>
            <w:tcW w:w="1995" w:type="dxa"/>
            <w:vMerge/>
          </w:tcPr>
          <w:p w14:paraId="0868EC0A"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3C3400B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320C587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Ņemot vērā augstāk minētos pieņēmumus, pastāv zems rādītāja neizpildes risks, tomēr risku rada:</w:t>
            </w:r>
          </w:p>
          <w:p w14:paraId="1EAA2A2B"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finansējums zinātniskās darbības un ilgtspējas nodrošināšanai, kas var atstāt negatīvu ietekmi uz RIS3 pētniecības un inovācijas centrus veidojošo pētniecības organizāciju nodarbināto skaita pieaugumu.</w:t>
            </w:r>
          </w:p>
          <w:p w14:paraId="012066CD"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RIS3 pētniecības un inovācijas centrus veidojošo institūciju sekmes „Apvārsnis Eiropa” programmas konkursos un Eiropas Komisijas finansējuma piesaistē virs kvalitātes sliekšņa novērtēto projektu īstenošanai.</w:t>
            </w:r>
          </w:p>
          <w:p w14:paraId="53147C45" w14:textId="77777777" w:rsidR="007B61DB" w:rsidRDefault="00432B6E">
            <w:pPr>
              <w:numPr>
                <w:ilvl w:val="0"/>
                <w:numId w:val="3"/>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Inflācijas ietekme uz pētniecības personāla iesaisti, tas ir, jāņem vērā, ka inflācijas gadījumā pastāv varbūtība par līdzīga finansējuma apjomu atbalstīt mazāku pētnieku skaitu.</w:t>
            </w:r>
          </w:p>
        </w:tc>
      </w:tr>
      <w:tr w:rsidR="007B61DB" w14:paraId="668C00CB" w14:textId="77777777">
        <w:trPr>
          <w:trHeight w:val="437"/>
        </w:trPr>
        <w:tc>
          <w:tcPr>
            <w:tcW w:w="1995" w:type="dxa"/>
          </w:tcPr>
          <w:p w14:paraId="44C491B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 xml:space="preserve">Rādītāja sasniegšana </w:t>
            </w:r>
          </w:p>
        </w:tc>
        <w:tc>
          <w:tcPr>
            <w:tcW w:w="7072" w:type="dxa"/>
          </w:tcPr>
          <w:p w14:paraId="4417F7D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 rezultāta izpildi liecina noslēgtie darba līgumi ar zinātnisko personālu un zinātnes tehnisko personālu, kas strādā izveidotajos centros.</w:t>
            </w:r>
          </w:p>
        </w:tc>
      </w:tr>
    </w:tbl>
    <w:p w14:paraId="24075818"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48CB5D38" w14:textId="77777777" w:rsidR="007B61DB" w:rsidRDefault="007B61DB">
      <w:pPr>
        <w:spacing w:after="0" w:line="240" w:lineRule="auto"/>
        <w:jc w:val="both"/>
        <w:rPr>
          <w:rFonts w:ascii="Times New Roman" w:eastAsia="Times New Roman" w:hAnsi="Times New Roman" w:cs="Times New Roman"/>
          <w:sz w:val="20"/>
          <w:szCs w:val="20"/>
        </w:rPr>
      </w:pPr>
    </w:p>
    <w:tbl>
      <w:tblPr>
        <w:tblStyle w:val="aff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6A33444C" w14:textId="77777777">
        <w:tc>
          <w:tcPr>
            <w:tcW w:w="1995" w:type="dxa"/>
          </w:tcPr>
          <w:p w14:paraId="3CC418A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49F2299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07</w:t>
            </w:r>
          </w:p>
        </w:tc>
      </w:tr>
      <w:tr w:rsidR="007B61DB" w14:paraId="4A2204B7" w14:textId="77777777">
        <w:tc>
          <w:tcPr>
            <w:tcW w:w="1995" w:type="dxa"/>
          </w:tcPr>
          <w:p w14:paraId="4BD016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9061A0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organizācijas, kas piedalās kopīgos pētniecības projektos</w:t>
            </w:r>
          </w:p>
        </w:tc>
      </w:tr>
      <w:tr w:rsidR="007B61DB" w14:paraId="684717E0" w14:textId="77777777">
        <w:tc>
          <w:tcPr>
            <w:tcW w:w="1995" w:type="dxa"/>
          </w:tcPr>
          <w:p w14:paraId="161BCFD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4400A85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Atbalstīto pētniecības organizāciju skaits, kas sadarbojas kopīgos pētniecības projektos. Kopīgs pētniecības projekts ietver vismaz vienu pētniecības organizāciju un citu partneri (piemēram, uzņēmumu, citu pētniecības organizāciju utt.).</w:t>
            </w:r>
            <w:r>
              <w:rPr>
                <w:rFonts w:ascii="Times New Roman" w:eastAsia="Times New Roman" w:hAnsi="Times New Roman" w:cs="Times New Roman"/>
                <w:sz w:val="20"/>
                <w:szCs w:val="20"/>
                <w:vertAlign w:val="superscript"/>
              </w:rPr>
              <w:footnoteReference w:id="4"/>
            </w:r>
            <w:r>
              <w:rPr>
                <w:rFonts w:ascii="Times New Roman" w:eastAsia="Times New Roman" w:hAnsi="Times New Roman" w:cs="Times New Roman"/>
                <w:sz w:val="20"/>
                <w:szCs w:val="20"/>
              </w:rPr>
              <w:t xml:space="preserve"> Sadarbība pētniecības un attīstības pasākumos var būt jauna vai pastāvoša, un tai vajadzētu ilgt vismaz visu atbalstītā projekta laiku. Šis rādītājs attiecas uz aktīvu dalību kopīgos pētniecības projektos, un tas izslēdz līgumiskos pasākumus bez aktīvas sadarbības atbalstītajā projektā (t.i. izslēgt gadījumus, kad visi pamatlīguma partneri nepiedalās kopīgos pētniecības projektos). Pētniecības organizācijas ir struktūras, kuru galvenais mērķis ir patstāvīgi veikt fundamentālos pētījumus, rūpnieciskos pētījumus un eksperimentālo attīstību, kā arī izplatīt šādu darbību rezultātus, izmantojot mācību, publikācijas vai zināšanu nodošanu. Piemēri ietver universitātes vai pētniecības institūtus, tehnoloģiju nodošanas aģentūras, inovāciju starpniekus, uz pētniecību orientētas vai virtuālas sadarbības struktūras, un tās var būt publiskas vai privātas. (Komisijas Regula 651/2014).</w:t>
            </w:r>
          </w:p>
        </w:tc>
      </w:tr>
      <w:tr w:rsidR="007B61DB" w14:paraId="523CAD11" w14:textId="77777777">
        <w:tc>
          <w:tcPr>
            <w:tcW w:w="1995" w:type="dxa"/>
          </w:tcPr>
          <w:p w14:paraId="0A6BD96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667FDC8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F57C20C" w14:textId="77777777">
        <w:tc>
          <w:tcPr>
            <w:tcW w:w="1995" w:type="dxa"/>
          </w:tcPr>
          <w:p w14:paraId="7CC8469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A48A11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organizāciju skaits</w:t>
            </w:r>
          </w:p>
        </w:tc>
      </w:tr>
      <w:tr w:rsidR="007B61DB" w14:paraId="5D61F176" w14:textId="77777777">
        <w:tc>
          <w:tcPr>
            <w:tcW w:w="1995" w:type="dxa"/>
          </w:tcPr>
          <w:p w14:paraId="24BC1B0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5F65BF1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59452FAD" w14:textId="77777777">
        <w:tc>
          <w:tcPr>
            <w:tcW w:w="1995" w:type="dxa"/>
          </w:tcPr>
          <w:p w14:paraId="1179169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6D6510D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r>
      <w:tr w:rsidR="007B61DB" w14:paraId="7F7D8656" w14:textId="77777777">
        <w:tc>
          <w:tcPr>
            <w:tcW w:w="1995" w:type="dxa"/>
          </w:tcPr>
          <w:p w14:paraId="4E42D2A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7497D2C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7B61DB" w14:paraId="5C7A6286" w14:textId="77777777">
        <w:tc>
          <w:tcPr>
            <w:tcW w:w="1995" w:type="dxa"/>
            <w:vMerge w:val="restart"/>
          </w:tcPr>
          <w:p w14:paraId="0D97890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5"/>
            </w:r>
          </w:p>
          <w:p w14:paraId="0971A2A6"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6779757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399D760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8C501A4"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8DCE564"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7D590DFB" w14:textId="77777777" w:rsidR="007B61DB" w:rsidRDefault="00432B6E">
            <w:pPr>
              <w:numPr>
                <w:ilvl w:val="0"/>
                <w:numId w:val="4"/>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3EB4493" w14:textId="77777777">
        <w:trPr>
          <w:trHeight w:val="276"/>
        </w:trPr>
        <w:tc>
          <w:tcPr>
            <w:tcW w:w="1995" w:type="dxa"/>
            <w:vMerge/>
          </w:tcPr>
          <w:p w14:paraId="5E2290C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F1859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6"/>
            </w:r>
          </w:p>
          <w:p w14:paraId="14386E47"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1.1.1.1.pasākuma „Praktiskas ievirzes pētījumi” un 1.1.1.2.pasākuma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atbalsts” īstenošanā; Projektu dati.</w:t>
            </w:r>
          </w:p>
        </w:tc>
      </w:tr>
      <w:tr w:rsidR="007B61DB" w14:paraId="05FEB444" w14:textId="77777777">
        <w:trPr>
          <w:trHeight w:val="276"/>
        </w:trPr>
        <w:tc>
          <w:tcPr>
            <w:tcW w:w="1995" w:type="dxa"/>
            <w:vMerge/>
          </w:tcPr>
          <w:p w14:paraId="03B2B0B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79332DB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B6E4E6D" w14:textId="77777777" w:rsidR="007B61DB" w:rsidRDefault="007B61DB">
            <w:pPr>
              <w:spacing w:after="0" w:line="240" w:lineRule="auto"/>
              <w:jc w:val="both"/>
              <w:rPr>
                <w:rFonts w:ascii="Times New Roman" w:eastAsia="Times New Roman" w:hAnsi="Times New Roman" w:cs="Times New Roman"/>
                <w:b/>
                <w:sz w:val="20"/>
                <w:szCs w:val="20"/>
              </w:rPr>
            </w:pPr>
          </w:p>
          <w:p w14:paraId="11C3903B"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 sadarbības pētniecības projektu īstenošanā piedalīsies 20 pētniecības organizācijas, kas ES fondu 2014.-2020.gada plānošanas periodā īstenoja pētniecības projektus un atbilda Komisijas regulas Nr.651/2014 2.panta 83.punkta pētniecības organizācijas definīcijai.</w:t>
            </w:r>
          </w:p>
          <w:p w14:paraId="1680D8BD" w14:textId="77777777" w:rsidR="007B61DB" w:rsidRDefault="007B61D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68079211"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Pieņēmumi, kas izmantoti aprēķinam:</w:t>
            </w:r>
          </w:p>
          <w:p w14:paraId="057B73FD"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Lai koncentrētu pētniecības resursus, veikts pieņēmums, ka Latvijā nepalielinās kopējais zinātnisko institūciju skaits, tai skaitā to zinātnisko institūciju skaits, kas ES fondu 2014.-2020.gada plānošanas periodā atbilda Komisijas regulas Nr.</w:t>
            </w:r>
            <w:hyperlink r:id="rId9">
              <w:r>
                <w:rPr>
                  <w:rFonts w:ascii="Times New Roman" w:eastAsia="Times New Roman" w:hAnsi="Times New Roman" w:cs="Times New Roman"/>
                  <w:color w:val="000000"/>
                  <w:sz w:val="20"/>
                  <w:szCs w:val="20"/>
                </w:rPr>
                <w:t>651/2014</w:t>
              </w:r>
            </w:hyperlink>
            <w:r>
              <w:rPr>
                <w:rFonts w:ascii="Times New Roman" w:eastAsia="Times New Roman" w:hAnsi="Times New Roman" w:cs="Times New Roman"/>
                <w:color w:val="000000"/>
                <w:sz w:val="20"/>
                <w:szCs w:val="20"/>
              </w:rPr>
              <w:t xml:space="preserve"> 2.panta 83.punktā noteiktajai pētniecības organizācijas definīcijai. </w:t>
            </w:r>
          </w:p>
          <w:p w14:paraId="6C1D7445"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Praktiskas ievirzes pētniecības projektu atbalsta programmas ietvaros tiek piemēroti projektu iesniegumu vērtēšanas kritēriji, kas paredz piešķirt papildu punktus par pētniecības organizāciju un saimnieciskās darbības veicēju sadarbību pētniecības projektu īstenošanā.</w:t>
            </w:r>
          </w:p>
          <w:p w14:paraId="41026038"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programmas ietvaros varētu tikt piemēroti projektu iesniegumu vērtēšanas kritēriji, kas paredz piešķirt papildu punktus par pētniecības organizāciju un saimnieciskās darbības veicēju sadarbību pētniecības projektu īstenošanā.</w:t>
            </w:r>
          </w:p>
          <w:p w14:paraId="13322694" w14:textId="77777777" w:rsidR="007B61DB" w:rsidRDefault="00432B6E">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Ņemot vērā to, ka iznākuma rādītājā tiek skaitītas unikālās pētniecības organizācijas, kā arī to, ka praktiskas ievirzes pētījumu programma tiks organizēta atklātas projektu iesniegumu atlases veidā un arī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pieteikumi tiks atlasīti atklātā konkursā, tiek pieņemts, ka līdz 2024.gadam atbalstu pētījumu īstenošanai saņems 50% no potenciālajiem projektu iesniedzējiem, kas atbilst pētniecības organizācijas definīcijai jeb 50% no plānotā iznākuma rādītāja RCO 07 vērtības, t.i. 10 pētniecības organizācijas.</w:t>
            </w:r>
          </w:p>
        </w:tc>
      </w:tr>
      <w:tr w:rsidR="007B61DB" w14:paraId="109BB00A" w14:textId="77777777">
        <w:trPr>
          <w:trHeight w:val="276"/>
        </w:trPr>
        <w:tc>
          <w:tcPr>
            <w:tcW w:w="1995" w:type="dxa"/>
            <w:vMerge/>
          </w:tcPr>
          <w:p w14:paraId="17564689"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3DCA13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22221566"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RCO 07 tiek piemērots attiecībā uz plānotajiem 1.1.1.SAM ieguldījumiem praktiskas ievirzes pētniecības projektu un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pieteikumu īstenošanā.</w:t>
            </w:r>
          </w:p>
        </w:tc>
      </w:tr>
      <w:tr w:rsidR="007B61DB" w14:paraId="33B150AE" w14:textId="77777777">
        <w:trPr>
          <w:trHeight w:val="276"/>
        </w:trPr>
        <w:tc>
          <w:tcPr>
            <w:tcW w:w="1995" w:type="dxa"/>
            <w:vMerge/>
          </w:tcPr>
          <w:p w14:paraId="3FBD3C23"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9B8CFA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2202F158" w14:textId="77777777" w:rsidR="007B61DB" w:rsidRDefault="00432B6E">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pieņēmumus, pastāv zems rādītāja neizpildes risks.</w:t>
            </w:r>
          </w:p>
          <w:p w14:paraId="65F16EDE" w14:textId="77777777" w:rsidR="007B61DB" w:rsidRDefault="00432B6E">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Nepietiekams pētniecības organizāciju privātā līdzfinansējuma nodrošinājums un saimnieciskās </w:t>
            </w:r>
            <w:proofErr w:type="spellStart"/>
            <w:r>
              <w:rPr>
                <w:rFonts w:ascii="Times New Roman" w:eastAsia="Times New Roman" w:hAnsi="Times New Roman" w:cs="Times New Roman"/>
                <w:color w:val="000000"/>
                <w:sz w:val="20"/>
                <w:szCs w:val="20"/>
              </w:rPr>
              <w:t>arbības</w:t>
            </w:r>
            <w:proofErr w:type="spellEnd"/>
            <w:r>
              <w:rPr>
                <w:rFonts w:ascii="Times New Roman" w:eastAsia="Times New Roman" w:hAnsi="Times New Roman" w:cs="Times New Roman"/>
                <w:color w:val="000000"/>
                <w:sz w:val="20"/>
                <w:szCs w:val="20"/>
              </w:rPr>
              <w:t xml:space="preserve"> veicēju līdzfinansējuma nodrošinājums praktiskas ievirzes projektu un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īstenošanai. </w:t>
            </w:r>
          </w:p>
          <w:p w14:paraId="7A3739CC" w14:textId="77777777" w:rsidR="007B61DB" w:rsidRDefault="00432B6E">
            <w:pPr>
              <w:numPr>
                <w:ilvl w:val="0"/>
                <w:numId w:val="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Zema saimnieciskās darbības veicēju interese par dalību praktiskas ievirzes pētījumu projektu un </w:t>
            </w:r>
            <w:proofErr w:type="spellStart"/>
            <w:r>
              <w:rPr>
                <w:rFonts w:ascii="Times New Roman" w:eastAsia="Times New Roman" w:hAnsi="Times New Roman" w:cs="Times New Roman"/>
                <w:color w:val="000000"/>
                <w:sz w:val="20"/>
                <w:szCs w:val="20"/>
              </w:rPr>
              <w:t>pēcdoktorantu</w:t>
            </w:r>
            <w:proofErr w:type="spellEnd"/>
            <w:r>
              <w:rPr>
                <w:rFonts w:ascii="Times New Roman" w:eastAsia="Times New Roman" w:hAnsi="Times New Roman" w:cs="Times New Roman"/>
                <w:color w:val="000000"/>
                <w:sz w:val="20"/>
                <w:szCs w:val="20"/>
              </w:rPr>
              <w:t xml:space="preserve"> pētniecības pieteikumu īstenošanā sadarbībā ar pētniecības organizācijām.</w:t>
            </w:r>
          </w:p>
        </w:tc>
      </w:tr>
      <w:tr w:rsidR="007B61DB" w14:paraId="7B8D4981" w14:textId="77777777">
        <w:trPr>
          <w:trHeight w:val="276"/>
        </w:trPr>
        <w:tc>
          <w:tcPr>
            <w:tcW w:w="1995" w:type="dxa"/>
          </w:tcPr>
          <w:p w14:paraId="3470E99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6ABD4F0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tiek uzskatīts par izpildītu, kad noslēgts sadarbības līgums par sadarbību pētniecības projekta īstenošanā (tiek pārbaudīts pie maksājuma pieprasījuma).</w:t>
            </w:r>
          </w:p>
        </w:tc>
      </w:tr>
    </w:tbl>
    <w:p w14:paraId="7649E022"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0B286560"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7"/>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5326BC5B" w14:textId="77777777">
        <w:tc>
          <w:tcPr>
            <w:tcW w:w="1995" w:type="dxa"/>
          </w:tcPr>
          <w:p w14:paraId="27C5D27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6B27063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08</w:t>
            </w:r>
          </w:p>
        </w:tc>
      </w:tr>
      <w:tr w:rsidR="007B61DB" w14:paraId="106CB35F" w14:textId="77777777">
        <w:tc>
          <w:tcPr>
            <w:tcW w:w="1995" w:type="dxa"/>
          </w:tcPr>
          <w:p w14:paraId="1014CE7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0940A7A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un inovācijas aprīkojuma nominālā vērtība</w:t>
            </w:r>
          </w:p>
        </w:tc>
      </w:tr>
      <w:tr w:rsidR="007B61DB" w14:paraId="64063102" w14:textId="77777777">
        <w:tc>
          <w:tcPr>
            <w:tcW w:w="1995" w:type="dxa"/>
          </w:tcPr>
          <w:p w14:paraId="352A0719"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285F1DC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Atbalstītās pētniecības un inovācijas aprīkojuma kopējā (iegādes) vērtība. Pētniecības un attīstības aprīkojums ietver visus piederumus, rīkus un ierīces, ko tieši izmanto pētniecības un attīstības darbību veikšanai. Tas neietver, piemēram, ķīmiskas vielas vai citus patērējamus materiālus, ko izmanto eksperimentu vai citu pētījumu veikšanai.</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7"/>
            </w:r>
          </w:p>
        </w:tc>
      </w:tr>
      <w:tr w:rsidR="007B61DB" w14:paraId="516F9A1C" w14:textId="77777777">
        <w:tc>
          <w:tcPr>
            <w:tcW w:w="1995" w:type="dxa"/>
          </w:tcPr>
          <w:p w14:paraId="5C93122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112B9E9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3CCE9012" w14:textId="77777777">
        <w:tc>
          <w:tcPr>
            <w:tcW w:w="1995" w:type="dxa"/>
          </w:tcPr>
          <w:p w14:paraId="41781829"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3743BDA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7B61DB" w14:paraId="346F8821" w14:textId="77777777">
        <w:tc>
          <w:tcPr>
            <w:tcW w:w="1995" w:type="dxa"/>
          </w:tcPr>
          <w:p w14:paraId="5B79E06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6DA37FE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29CABDA5" w14:textId="77777777">
        <w:trPr>
          <w:trHeight w:val="422"/>
        </w:trPr>
        <w:tc>
          <w:tcPr>
            <w:tcW w:w="1995" w:type="dxa"/>
          </w:tcPr>
          <w:p w14:paraId="35C63C8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110C8EB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7B61DB" w14:paraId="1057F16C" w14:textId="77777777">
        <w:trPr>
          <w:trHeight w:val="524"/>
        </w:trPr>
        <w:tc>
          <w:tcPr>
            <w:tcW w:w="1995" w:type="dxa"/>
          </w:tcPr>
          <w:p w14:paraId="61DA364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B60819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48 375 000 EUR</w:t>
            </w:r>
          </w:p>
        </w:tc>
      </w:tr>
      <w:tr w:rsidR="007B61DB" w14:paraId="6324D155" w14:textId="77777777">
        <w:tc>
          <w:tcPr>
            <w:tcW w:w="1995" w:type="dxa"/>
            <w:vMerge w:val="restart"/>
          </w:tcPr>
          <w:p w14:paraId="18D569D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8"/>
            </w:r>
          </w:p>
          <w:p w14:paraId="4E4B34E0"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36385D4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2B602A5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451D81"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ar plānotajiem ieguldījumiem. </w:t>
            </w:r>
            <w:r>
              <w:rPr>
                <w:rFonts w:ascii="Times New Roman" w:eastAsia="Times New Roman" w:hAnsi="Times New Roman" w:cs="Times New Roman"/>
                <w:color w:val="000000"/>
                <w:sz w:val="20"/>
                <w:szCs w:val="20"/>
              </w:rPr>
              <w:t xml:space="preserve">Rādītāju izvēlē tika ņemts vērā, vai izvēlētais rādītājs var atspoguļot rezultātus un ietekmi, ko radīs veiktie ieguldījumi. </w:t>
            </w:r>
          </w:p>
          <w:p w14:paraId="2D89A5CC"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r>
              <w:rPr>
                <w:rFonts w:ascii="Times New Roman" w:eastAsia="Times New Roman" w:hAnsi="Times New Roman" w:cs="Times New Roman"/>
                <w:b/>
                <w:color w:val="000000"/>
                <w:sz w:val="20"/>
                <w:szCs w:val="20"/>
              </w:rPr>
              <w:t>.</w:t>
            </w:r>
          </w:p>
          <w:p w14:paraId="14AA44F9" w14:textId="77777777" w:rsidR="007B61DB" w:rsidRDefault="00432B6E">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7BACD3E8" w14:textId="77777777">
        <w:trPr>
          <w:trHeight w:val="518"/>
        </w:trPr>
        <w:tc>
          <w:tcPr>
            <w:tcW w:w="1995" w:type="dxa"/>
            <w:vMerge/>
          </w:tcPr>
          <w:p w14:paraId="167F91A8"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3703A37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9"/>
            </w:r>
          </w:p>
          <w:p w14:paraId="21A2C002"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Projektu dati.</w:t>
            </w:r>
          </w:p>
        </w:tc>
      </w:tr>
      <w:tr w:rsidR="007B61DB" w14:paraId="21B02B8B" w14:textId="77777777">
        <w:trPr>
          <w:trHeight w:val="518"/>
        </w:trPr>
        <w:tc>
          <w:tcPr>
            <w:tcW w:w="1995" w:type="dxa"/>
            <w:vMerge/>
          </w:tcPr>
          <w:p w14:paraId="304A5A8D"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2F80A306"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74FAE1D0" w14:textId="77777777" w:rsidR="007B61DB" w:rsidRDefault="007B61DB">
            <w:pPr>
              <w:spacing w:after="0" w:line="240" w:lineRule="auto"/>
              <w:jc w:val="both"/>
              <w:rPr>
                <w:rFonts w:ascii="Times New Roman" w:eastAsia="Times New Roman" w:hAnsi="Times New Roman" w:cs="Times New Roman"/>
                <w:b/>
                <w:sz w:val="20"/>
                <w:szCs w:val="20"/>
              </w:rPr>
            </w:pPr>
          </w:p>
          <w:p w14:paraId="57B5D11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752321D0" w14:textId="77777777" w:rsidR="007B61DB" w:rsidRDefault="007B61DB">
            <w:pPr>
              <w:spacing w:after="0" w:line="240" w:lineRule="auto"/>
              <w:jc w:val="both"/>
              <w:rPr>
                <w:rFonts w:ascii="Times New Roman" w:eastAsia="Times New Roman" w:hAnsi="Times New Roman" w:cs="Times New Roman"/>
                <w:b/>
                <w:sz w:val="20"/>
                <w:szCs w:val="20"/>
              </w:rPr>
            </w:pPr>
          </w:p>
          <w:p w14:paraId="5FD52D2F" w14:textId="77777777" w:rsidR="007B61DB" w:rsidRDefault="00432B6E">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RIS3 pētniecības un inovācijas centri = [RIS3 centru izveidei pieejamais finansējums, EUR]*[pētniecības iekārtu izveidei/iegādei paredzētā finansējuma īpatsvars] = 60 900 000 EUR *75% = 45 675 000 EUR</w:t>
            </w:r>
          </w:p>
          <w:p w14:paraId="10335166" w14:textId="77777777" w:rsidR="007B61DB" w:rsidRDefault="00432B6E">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Zinātnes digitalizācija: 90% * 3 milj. EUR = 2 700 000 EUR.</w:t>
            </w:r>
          </w:p>
          <w:p w14:paraId="1BC66A0F" w14:textId="77777777" w:rsidR="007B61DB" w:rsidRDefault="007B61DB">
            <w:pPr>
              <w:numPr>
                <w:ilvl w:val="0"/>
                <w:numId w:val="2"/>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p>
          <w:p w14:paraId="25DF772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Kopā: 48 375 000 EUR.</w:t>
            </w:r>
          </w:p>
          <w:p w14:paraId="08EBB5E5" w14:textId="77777777" w:rsidR="007B61DB" w:rsidRDefault="007B61DB">
            <w:pPr>
              <w:spacing w:after="0" w:line="240" w:lineRule="auto"/>
              <w:jc w:val="both"/>
              <w:rPr>
                <w:rFonts w:ascii="Times New Roman" w:eastAsia="Times New Roman" w:hAnsi="Times New Roman" w:cs="Times New Roman"/>
                <w:sz w:val="20"/>
                <w:szCs w:val="20"/>
              </w:rPr>
            </w:pPr>
          </w:p>
          <w:p w14:paraId="55ADBCA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052C1251"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75% investīciju ir paredzēts pētniecības aprīkojumam, 21% - pētniecības infrastruktūras renovācijai un 4% - administratīvajām izmaksām.</w:t>
            </w:r>
          </w:p>
          <w:p w14:paraId="06C75C43"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zinātnes digitalizācijai kopējā plānotā finansējuma 3 milj. EUR </w:t>
            </w:r>
            <w:proofErr w:type="spellStart"/>
            <w:r>
              <w:rPr>
                <w:rFonts w:ascii="Times New Roman" w:eastAsia="Times New Roman" w:hAnsi="Times New Roman" w:cs="Times New Roman"/>
                <w:sz w:val="20"/>
                <w:szCs w:val="20"/>
              </w:rPr>
              <w:t>ind</w:t>
            </w:r>
            <w:proofErr w:type="spellEnd"/>
            <w:r>
              <w:rPr>
                <w:rFonts w:ascii="Times New Roman" w:eastAsia="Times New Roman" w:hAnsi="Times New Roman" w:cs="Times New Roman"/>
                <w:sz w:val="20"/>
                <w:szCs w:val="20"/>
              </w:rPr>
              <w:t>. 10% tiek plānoti administratīvajām izmaksām, līdz ar to pētniecības un inovāciju aprīkojumam tiek plānoti indikatīvi 90%.</w:t>
            </w:r>
          </w:p>
          <w:p w14:paraId="292B179C" w14:textId="77777777" w:rsidR="007B61DB" w:rsidRDefault="00432B6E">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pieņemts, ka 2024. gadā pētniecības infrastruktūras modernizācijas projektu īstenošana vēl nebūs noslēgusies, līdz ar to pamatlīdzekļi vēl nebūs uzņemti institūciju bilancē vai nodoti ekspluatācijā. Ievērojot minēto, plānots, ka iznākuma rādītāja RCO 08 starpposma vērtība 2024. gadā būs “0”.</w:t>
            </w:r>
          </w:p>
          <w:p w14:paraId="75358805" w14:textId="42ADB7AA" w:rsidR="007B61DB" w:rsidRDefault="00432B6E" w:rsidP="00587309">
            <w:pPr>
              <w:numPr>
                <w:ilvl w:val="0"/>
                <w:numId w:val="2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Plānots, ka līdz 2029.gadam tiks izveidoti indikatīvi </w:t>
            </w:r>
            <w:r w:rsidR="00587309">
              <w:rPr>
                <w:rFonts w:ascii="Times New Roman" w:eastAsia="Times New Roman" w:hAnsi="Times New Roman" w:cs="Times New Roman"/>
                <w:sz w:val="20"/>
                <w:szCs w:val="20"/>
              </w:rPr>
              <w:t xml:space="preserve">trīs </w:t>
            </w:r>
            <w:r>
              <w:rPr>
                <w:rFonts w:ascii="Times New Roman" w:eastAsia="Times New Roman" w:hAnsi="Times New Roman" w:cs="Times New Roman"/>
                <w:sz w:val="20"/>
                <w:szCs w:val="20"/>
              </w:rPr>
              <w:t>RIS3 pētniecības un inovācijas centri.</w:t>
            </w:r>
          </w:p>
        </w:tc>
      </w:tr>
      <w:tr w:rsidR="007B61DB" w14:paraId="3A84E845" w14:textId="77777777">
        <w:trPr>
          <w:trHeight w:val="518"/>
        </w:trPr>
        <w:tc>
          <w:tcPr>
            <w:tcW w:w="1995" w:type="dxa"/>
            <w:vMerge/>
          </w:tcPr>
          <w:p w14:paraId="7E83338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A5DDA6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4D90792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RCO 08 tiek piemērots attiecībā uz plānotajiem 1.1.1.SAM ieguldījumiem RIS3 pētniecības un inovācijas centru un zinātniskās darbības digitalizācijas attīstībai.</w:t>
            </w:r>
          </w:p>
        </w:tc>
      </w:tr>
      <w:tr w:rsidR="007B61DB" w14:paraId="4E19AD5E" w14:textId="77777777">
        <w:trPr>
          <w:trHeight w:val="518"/>
        </w:trPr>
        <w:tc>
          <w:tcPr>
            <w:tcW w:w="1995" w:type="dxa"/>
            <w:vMerge/>
          </w:tcPr>
          <w:p w14:paraId="17CF78C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0D586E3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488EF40" w14:textId="77777777" w:rsidR="007B61DB" w:rsidRDefault="00432B6E">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Rādītāja vērtību var ietekmēt izmaiņas ieguldījumu pētniecības infrastruktūras renovācijā izmaiņas, piemēram, izmaksu sadārdzinājums.</w:t>
            </w:r>
          </w:p>
          <w:p w14:paraId="644F37B9" w14:textId="77777777" w:rsidR="007B61DB" w:rsidRDefault="00432B6E">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pētniecības organizāciju projekta īstenošanai nepieciešamā līdzfinansējuma nodrošinājums.</w:t>
            </w:r>
          </w:p>
        </w:tc>
      </w:tr>
      <w:tr w:rsidR="007B61DB" w14:paraId="5A255697" w14:textId="77777777">
        <w:trPr>
          <w:trHeight w:val="518"/>
        </w:trPr>
        <w:tc>
          <w:tcPr>
            <w:tcW w:w="1995" w:type="dxa"/>
          </w:tcPr>
          <w:p w14:paraId="4A1CBDF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4BB0D6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 rezultātu sasniegšanu liecina institūciju bilancē uzņemtie materiālie aktīvi/pamatlīdzekļi.</w:t>
            </w:r>
          </w:p>
        </w:tc>
      </w:tr>
    </w:tbl>
    <w:p w14:paraId="6577C2BC"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3E768502"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8"/>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39D27177" w14:textId="77777777">
        <w:tc>
          <w:tcPr>
            <w:tcW w:w="1995" w:type="dxa"/>
          </w:tcPr>
          <w:p w14:paraId="63D967F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2676E24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RCO 10</w:t>
            </w:r>
          </w:p>
        </w:tc>
      </w:tr>
      <w:tr w:rsidR="007B61DB" w14:paraId="43F5C5B4" w14:textId="77777777">
        <w:trPr>
          <w:trHeight w:val="183"/>
        </w:trPr>
        <w:tc>
          <w:tcPr>
            <w:tcW w:w="1995" w:type="dxa"/>
          </w:tcPr>
          <w:p w14:paraId="5957AF4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13EB465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Uzņēmumi, kas sadarbojas ar pētniecības organizācijām</w:t>
            </w:r>
          </w:p>
        </w:tc>
      </w:tr>
      <w:tr w:rsidR="007B61DB" w14:paraId="0B9F98AC" w14:textId="77777777">
        <w:trPr>
          <w:trHeight w:val="231"/>
        </w:trPr>
        <w:tc>
          <w:tcPr>
            <w:tcW w:w="1995" w:type="dxa"/>
          </w:tcPr>
          <w:p w14:paraId="46AE654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2B703B4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Uzņēmumu skaits, kas sadarbojas kopīgos pētniecības projektos ar pētniecības organizācijām. Sadarbība pētniecības un attīstības pasākumos var būt jauna vai pastāvoša, un tai vajadzētu ilgt vismaz visu atbalstītā projekta laiku. Rādītājs ietver uzņēmumus, kas projektu īsteno efektīvā sadarbībā</w:t>
            </w:r>
            <w:r>
              <w:rPr>
                <w:rFonts w:ascii="Times New Roman" w:eastAsia="Times New Roman" w:hAnsi="Times New Roman" w:cs="Times New Roman"/>
                <w:sz w:val="20"/>
                <w:szCs w:val="20"/>
                <w:vertAlign w:val="superscript"/>
              </w:rPr>
              <w:footnoteReference w:id="10"/>
            </w:r>
            <w:r>
              <w:rPr>
                <w:rFonts w:ascii="Times New Roman" w:eastAsia="Times New Roman" w:hAnsi="Times New Roman" w:cs="Times New Roman"/>
                <w:sz w:val="20"/>
                <w:szCs w:val="20"/>
              </w:rPr>
              <w:t xml:space="preserve"> ar pētniecības organizāciju, un tas izslēdz līgumiskos pasākumus bez aktīvas sadarbības atbalstītajā projektā. </w:t>
            </w:r>
            <w:r>
              <w:rPr>
                <w:rFonts w:ascii="Times New Roman" w:eastAsia="Times New Roman" w:hAnsi="Times New Roman" w:cs="Times New Roman"/>
                <w:sz w:val="20"/>
                <w:szCs w:val="20"/>
              </w:rPr>
              <w:lastRenderedPageBreak/>
              <w:t>Uzņēmums tiek skaitīts vienu reizi neatkarīgi no tā, cik reizes tas saņem atbalstu no darbībām viena specifiskā mērķa ietvaros.</w:t>
            </w:r>
            <w:r>
              <w:rPr>
                <w:rFonts w:ascii="Times New Roman" w:eastAsia="Times New Roman" w:hAnsi="Times New Roman" w:cs="Times New Roman"/>
                <w:sz w:val="20"/>
                <w:szCs w:val="20"/>
                <w:vertAlign w:val="superscript"/>
              </w:rPr>
              <w:footnoteReference w:id="11"/>
            </w:r>
          </w:p>
        </w:tc>
      </w:tr>
      <w:tr w:rsidR="007B61DB" w14:paraId="6F1BBC50" w14:textId="77777777">
        <w:trPr>
          <w:trHeight w:val="231"/>
        </w:trPr>
        <w:tc>
          <w:tcPr>
            <w:tcW w:w="1995" w:type="dxa"/>
          </w:tcPr>
          <w:p w14:paraId="04B0AB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Rādītāja veids</w:t>
            </w:r>
            <w:r>
              <w:rPr>
                <w:rFonts w:ascii="Times New Roman" w:eastAsia="Times New Roman" w:hAnsi="Times New Roman" w:cs="Times New Roman"/>
                <w:sz w:val="20"/>
                <w:szCs w:val="20"/>
              </w:rPr>
              <w:t xml:space="preserve"> </w:t>
            </w:r>
          </w:p>
        </w:tc>
        <w:tc>
          <w:tcPr>
            <w:tcW w:w="7072" w:type="dxa"/>
          </w:tcPr>
          <w:p w14:paraId="08B3A70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Iznākuma rādītājs</w:t>
            </w:r>
          </w:p>
        </w:tc>
      </w:tr>
      <w:tr w:rsidR="007B61DB" w14:paraId="58E40692" w14:textId="77777777">
        <w:tc>
          <w:tcPr>
            <w:tcW w:w="1995" w:type="dxa"/>
          </w:tcPr>
          <w:p w14:paraId="1614442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288103F"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Saimnieciskās darbības veicēju skaits</w:t>
            </w:r>
          </w:p>
        </w:tc>
      </w:tr>
      <w:tr w:rsidR="007B61DB" w14:paraId="0FA0CAB1" w14:textId="77777777">
        <w:tc>
          <w:tcPr>
            <w:tcW w:w="1995" w:type="dxa"/>
          </w:tcPr>
          <w:p w14:paraId="3EDCE608"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3B71965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75A4DADC" w14:textId="77777777">
        <w:tc>
          <w:tcPr>
            <w:tcW w:w="1995" w:type="dxa"/>
          </w:tcPr>
          <w:p w14:paraId="268CA84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shd w:val="clear" w:color="auto" w:fill="auto"/>
          </w:tcPr>
          <w:p w14:paraId="7D20FD5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 </w:t>
            </w:r>
          </w:p>
        </w:tc>
      </w:tr>
      <w:tr w:rsidR="007B61DB" w14:paraId="72E8D57B" w14:textId="77777777">
        <w:tc>
          <w:tcPr>
            <w:tcW w:w="1995" w:type="dxa"/>
          </w:tcPr>
          <w:p w14:paraId="506D105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03190BD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r>
      <w:tr w:rsidR="007B61DB" w14:paraId="6F70E3F1" w14:textId="77777777">
        <w:tc>
          <w:tcPr>
            <w:tcW w:w="1995" w:type="dxa"/>
            <w:vMerge w:val="restart"/>
          </w:tcPr>
          <w:p w14:paraId="6952B25D"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2"/>
            </w:r>
          </w:p>
          <w:p w14:paraId="24919319"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7FC4DC7A"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3E4B2F9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6D12F6"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247D4B2C"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 xml:space="preserve">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75B9AEB9" w14:textId="77777777" w:rsidR="007B61DB" w:rsidRDefault="00432B6E">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0439556A" w14:textId="77777777">
        <w:trPr>
          <w:trHeight w:val="387"/>
        </w:trPr>
        <w:tc>
          <w:tcPr>
            <w:tcW w:w="1995" w:type="dxa"/>
            <w:vMerge/>
          </w:tcPr>
          <w:p w14:paraId="58E594C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7A8881D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3"/>
            </w:r>
          </w:p>
          <w:p w14:paraId="61EAB547"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1.1.1.1.pasākuma “Praktiskas ievirzes pētījumi” un 1.1.1.2.pasākuma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atbalsts” ietvaros (saistībā ar sadarbību pētniecības projektu īstenošanā ar saimnieciskās darbības veicējiem ); Projektu dati.</w:t>
            </w:r>
          </w:p>
        </w:tc>
      </w:tr>
      <w:tr w:rsidR="007B61DB" w14:paraId="320360BA" w14:textId="77777777">
        <w:trPr>
          <w:trHeight w:val="387"/>
        </w:trPr>
        <w:tc>
          <w:tcPr>
            <w:tcW w:w="1995" w:type="dxa"/>
            <w:vMerge/>
          </w:tcPr>
          <w:p w14:paraId="268E7736"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428012D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465F4268" w14:textId="77777777" w:rsidR="007B61DB" w:rsidRDefault="007B61DB">
            <w:pPr>
              <w:spacing w:after="0" w:line="240" w:lineRule="auto"/>
              <w:jc w:val="both"/>
              <w:rPr>
                <w:rFonts w:ascii="Times New Roman" w:eastAsia="Times New Roman" w:hAnsi="Times New Roman" w:cs="Times New Roman"/>
                <w:b/>
                <w:sz w:val="20"/>
                <w:szCs w:val="20"/>
              </w:rPr>
            </w:pPr>
          </w:p>
          <w:p w14:paraId="4F835F2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7DE55C89" w14:textId="77777777" w:rsidR="007B61DB" w:rsidRDefault="007B61DB">
            <w:pPr>
              <w:spacing w:after="0" w:line="240" w:lineRule="auto"/>
              <w:jc w:val="both"/>
              <w:rPr>
                <w:rFonts w:ascii="Times New Roman" w:eastAsia="Times New Roman" w:hAnsi="Times New Roman" w:cs="Times New Roman"/>
                <w:b/>
                <w:sz w:val="20"/>
                <w:szCs w:val="20"/>
              </w:rPr>
            </w:pPr>
          </w:p>
          <w:p w14:paraId="631BF505" w14:textId="77777777" w:rsidR="007B61DB" w:rsidRDefault="00432B6E">
            <w:pPr>
              <w:numPr>
                <w:ilvl w:val="0"/>
                <w:numId w:val="1"/>
              </w:numPr>
              <w:pBdr>
                <w:top w:val="nil"/>
                <w:left w:val="nil"/>
                <w:bottom w:val="nil"/>
                <w:right w:val="nil"/>
                <w:between w:val="nil"/>
              </w:pBdr>
              <w:spacing w:after="0" w:line="240" w:lineRule="auto"/>
              <w:ind w:left="437"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unikāli saimnieciskās darbības veicēji ([praktiskas ievirzes pētījumu programmai pieejamais finansējums, EUR]*[Ne-saimniecisko projektu īpatsvars, %]*[unikālo saimnieciskās darbības veicēju īpatsvars, %]/[projektam pieejamais finansējums, EUR]) = (41 760 000 EUR*40% * 70% / 600 000 EUR)); </w:t>
            </w:r>
          </w:p>
          <w:p w14:paraId="4293A765" w14:textId="77777777" w:rsidR="007B61DB" w:rsidRDefault="00432B6E">
            <w:pPr>
              <w:numPr>
                <w:ilvl w:val="0"/>
                <w:numId w:val="1"/>
              </w:numPr>
              <w:pBdr>
                <w:top w:val="nil"/>
                <w:left w:val="nil"/>
                <w:bottom w:val="nil"/>
                <w:right w:val="nil"/>
                <w:between w:val="nil"/>
              </w:pBdr>
              <w:spacing w:after="0" w:line="240" w:lineRule="auto"/>
              <w:ind w:left="437"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13 unikāli saimnieciskās darbības veicēji (132 </w:t>
            </w:r>
            <w:proofErr w:type="spellStart"/>
            <w:r>
              <w:rPr>
                <w:rFonts w:ascii="Times New Roman" w:eastAsia="Times New Roman" w:hAnsi="Times New Roman" w:cs="Times New Roman"/>
                <w:color w:val="000000"/>
                <w:sz w:val="20"/>
                <w:szCs w:val="20"/>
              </w:rPr>
              <w:t>pēcdoktorantu</w:t>
            </w:r>
            <w:proofErr w:type="spellEnd"/>
            <w:r>
              <w:rPr>
                <w:rFonts w:ascii="Times New Roman" w:eastAsia="Times New Roman" w:hAnsi="Times New Roman" w:cs="Times New Roman"/>
                <w:color w:val="000000"/>
                <w:sz w:val="20"/>
                <w:szCs w:val="20"/>
              </w:rPr>
              <w:t xml:space="preserve"> pētniecības programmas pieteikumi * 10% = 13 saimnieciskās darbības veicēji); </w:t>
            </w:r>
          </w:p>
          <w:p w14:paraId="35899AB8" w14:textId="77777777" w:rsidR="007B61DB" w:rsidRDefault="00432B6E">
            <w:pPr>
              <w:numPr>
                <w:ilvl w:val="0"/>
                <w:numId w:val="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Kopā 32 saimnieciskās darbības veicēji, kas piedalās pētniecības projektu īstenošanā.</w:t>
            </w:r>
          </w:p>
          <w:p w14:paraId="7B015431" w14:textId="77777777" w:rsidR="007B61DB" w:rsidRDefault="007B61DB">
            <w:pPr>
              <w:spacing w:after="0" w:line="240" w:lineRule="auto"/>
              <w:jc w:val="both"/>
              <w:rPr>
                <w:rFonts w:ascii="Times New Roman" w:eastAsia="Times New Roman" w:hAnsi="Times New Roman" w:cs="Times New Roman"/>
                <w:sz w:val="20"/>
                <w:szCs w:val="20"/>
              </w:rPr>
            </w:pPr>
          </w:p>
          <w:p w14:paraId="7D07C359"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2DDE2EBC" w14:textId="77777777" w:rsidR="007B61DB" w:rsidRDefault="00432B6E">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Praktiskas ievirzes pētniecības projektu atbalsta programmas ietvaros 40% publiskā finansējuma paredzēti ne-saimnieciska rakstura pētniecības organizāciju un saimnieciskās darbības veicēju sadarbības projektu īstenošanai.</w:t>
            </w:r>
          </w:p>
          <w:p w14:paraId="3FB3B073" w14:textId="77777777" w:rsidR="007B61DB" w:rsidRDefault="00432B6E">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Praktiskas ievirzes pētniecības projektu atbalsta programmas ietvaros tiek piemēroti projektu iesniegumu vērtēšanas kritēriji, kas paredz piešķirt papildu punktus par pētniecības organizāciju un saimnieciskās darbības veicēju sadarbību ar saimniecisku darbību nesaistītu pētniecības projektu īstenošanā. Tādējādi atbalstu atklātas projektu iesniegumu atlases ietvaros varēs saņemt tikai tādu ar saimniecisku darbību nesaistītu pētniecības projektu īstenošanai, kurus </w:t>
            </w:r>
            <w:r>
              <w:rPr>
                <w:rFonts w:ascii="Times New Roman" w:eastAsia="Times New Roman" w:hAnsi="Times New Roman" w:cs="Times New Roman"/>
                <w:color w:val="000000"/>
                <w:sz w:val="20"/>
                <w:szCs w:val="20"/>
              </w:rPr>
              <w:lastRenderedPageBreak/>
              <w:t>īstenošanā iesaistītas pētniecības organizācijas un saimnieciskās darbības veicēji. Ne-saimnieciska rakstura projektu īstenošanai paredzēts novirzīt 40% no kopējā programmai pieejamā finansējuma, paredzot, ka viena projekta ERAF izmaksas nepārsniedz 600 000 EUR. Ņemot vērā, ka minētā rādītāja vērtībā skaita unikālos gadījumus, kā arī tiek paredzēts, ka viens un tas pats saimnieciskās darbības veicējs var piedalīties vairākos projektos, tiek pieņemts, ka unikālo saimnieciskās darbības veicēju īpatsvars ir 70%. Līdz ar to programmas ietvaros atbalstu varēs saņemt 30 unikāli saimnieciskās darbības veicēji.</w:t>
            </w:r>
          </w:p>
          <w:p w14:paraId="6B84F08F" w14:textId="77777777" w:rsidR="007B61DB" w:rsidRDefault="00432B6E">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programmā, ņemot vērā, ka minētā rādītāja vērtībā skaita unikālos gadījumus, tiek pieņemts, ka no 132 atbalstītajiem </w:t>
            </w:r>
            <w:proofErr w:type="spellStart"/>
            <w:r>
              <w:rPr>
                <w:rFonts w:ascii="Times New Roman" w:eastAsia="Times New Roman" w:hAnsi="Times New Roman" w:cs="Times New Roman"/>
                <w:color w:val="000000"/>
                <w:sz w:val="20"/>
                <w:szCs w:val="20"/>
              </w:rPr>
              <w:t>pēcdoktorantu</w:t>
            </w:r>
            <w:proofErr w:type="spellEnd"/>
            <w:r>
              <w:rPr>
                <w:rFonts w:ascii="Times New Roman" w:eastAsia="Times New Roman" w:hAnsi="Times New Roman" w:cs="Times New Roman"/>
                <w:color w:val="000000"/>
                <w:sz w:val="20"/>
                <w:szCs w:val="20"/>
              </w:rPr>
              <w:t xml:space="preserve"> pētniecības pieteikumiem 10% pētniecības pieteikumi tiks īstenoti sadarbībā ar saimnieciskās darbības veicēju, t.i. 132 pētniecības pieteikumi * 10% = 13 saimnieciskās darbības veicēji.</w:t>
            </w:r>
          </w:p>
          <w:p w14:paraId="660D9469" w14:textId="77777777" w:rsidR="007B61DB" w:rsidRDefault="00432B6E">
            <w:pPr>
              <w:numPr>
                <w:ilvl w:val="0"/>
                <w:numId w:val="21"/>
              </w:numPr>
              <w:pBdr>
                <w:top w:val="nil"/>
                <w:left w:val="nil"/>
                <w:bottom w:val="nil"/>
                <w:right w:val="nil"/>
                <w:between w:val="nil"/>
              </w:pBdr>
              <w:spacing w:after="0" w:line="240" w:lineRule="auto"/>
              <w:ind w:left="436" w:hanging="42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to, ka praktiskas ievirzes pētījumu projektu atlasi plānots uzsākt 2022. gada IV ceturksnī un līgumu slēgšana plānota no 2023.gada IV ceturkšņa, vērtība uz 31.12.2024. tiek paredzēta 30% apmērā jeb “10”.</w:t>
            </w:r>
          </w:p>
        </w:tc>
      </w:tr>
      <w:tr w:rsidR="007B61DB" w14:paraId="0050E0A5" w14:textId="77777777">
        <w:trPr>
          <w:trHeight w:val="387"/>
        </w:trPr>
        <w:tc>
          <w:tcPr>
            <w:tcW w:w="1995" w:type="dxa"/>
            <w:vMerge/>
          </w:tcPr>
          <w:p w14:paraId="46A29E94"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67AA79E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12130FC6"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RCO 10 tiek piemērots attiecībā uz plānotajiem 1.1.1.SAM ieguldījumiem praktiskas ievirzes pētniecības projektu un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pieteikumu īstenošanai.</w:t>
            </w:r>
          </w:p>
        </w:tc>
      </w:tr>
      <w:tr w:rsidR="007B61DB" w14:paraId="5E183284" w14:textId="77777777">
        <w:trPr>
          <w:trHeight w:val="387"/>
        </w:trPr>
        <w:tc>
          <w:tcPr>
            <w:tcW w:w="1995" w:type="dxa"/>
            <w:vMerge/>
          </w:tcPr>
          <w:p w14:paraId="39C6D8E2"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1C7B1FC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3A7E2C8B" w14:textId="77777777" w:rsidR="007B61DB" w:rsidRDefault="00432B6E">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Ņemot vērā pieņēmumus, pastāv zems rādītāja neizpildes risks.</w:t>
            </w:r>
          </w:p>
          <w:p w14:paraId="157FACE3" w14:textId="77777777" w:rsidR="007B61DB" w:rsidRDefault="00432B6E">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Nepietiekama saimnieciskās darbības veicēji interese un iesaiste praktiskas ievirzes pētniecības projektu un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īstenošanā, kā arī nepietiekams saimnieciskās darbības veicēju līdzfinansējums.</w:t>
            </w:r>
          </w:p>
        </w:tc>
      </w:tr>
      <w:tr w:rsidR="007B61DB" w14:paraId="72339374" w14:textId="77777777">
        <w:trPr>
          <w:trHeight w:val="387"/>
        </w:trPr>
        <w:tc>
          <w:tcPr>
            <w:tcW w:w="1995" w:type="dxa"/>
          </w:tcPr>
          <w:p w14:paraId="6156D8A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5BC3662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tie uzskatīts par izpildītu, kad noslēgts sadarbības līgums ar saimnieciskās darbības veicēju par sadarbību pētniecības projekta īstenošanā. </w:t>
            </w:r>
          </w:p>
        </w:tc>
      </w:tr>
    </w:tbl>
    <w:p w14:paraId="3FACB171" w14:textId="77777777" w:rsidR="007B61DB" w:rsidRDefault="007B61DB">
      <w:pPr>
        <w:spacing w:after="0" w:line="240" w:lineRule="auto"/>
        <w:ind w:firstLine="720"/>
        <w:jc w:val="both"/>
        <w:rPr>
          <w:rFonts w:ascii="Times New Roman" w:eastAsia="Times New Roman" w:hAnsi="Times New Roman" w:cs="Times New Roman"/>
          <w:sz w:val="20"/>
          <w:szCs w:val="20"/>
        </w:rPr>
      </w:pPr>
    </w:p>
    <w:p w14:paraId="5F200FE5"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9"/>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75FAB8E7" w14:textId="77777777">
        <w:tc>
          <w:tcPr>
            <w:tcW w:w="1995" w:type="dxa"/>
          </w:tcPr>
          <w:p w14:paraId="6C0EA7D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Nr.</w:t>
            </w:r>
            <w:r>
              <w:rPr>
                <w:rFonts w:ascii="Times New Roman" w:eastAsia="Times New Roman" w:hAnsi="Times New Roman" w:cs="Times New Roman"/>
                <w:sz w:val="20"/>
                <w:szCs w:val="20"/>
              </w:rPr>
              <w:t xml:space="preserve"> (ID)</w:t>
            </w:r>
          </w:p>
        </w:tc>
        <w:tc>
          <w:tcPr>
            <w:tcW w:w="7072" w:type="dxa"/>
          </w:tcPr>
          <w:p w14:paraId="0949F9A4"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RCR 102</w:t>
            </w:r>
          </w:p>
        </w:tc>
      </w:tr>
      <w:tr w:rsidR="007B61DB" w14:paraId="2402AF5C" w14:textId="77777777">
        <w:tc>
          <w:tcPr>
            <w:tcW w:w="1995" w:type="dxa"/>
          </w:tcPr>
          <w:p w14:paraId="2E947C3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nosaukums</w:t>
            </w:r>
          </w:p>
        </w:tc>
        <w:tc>
          <w:tcPr>
            <w:tcW w:w="7072" w:type="dxa"/>
          </w:tcPr>
          <w:p w14:paraId="116D2A7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Atbalstītajās struktūrās izveidotās pētniecības darbvietas</w:t>
            </w:r>
          </w:p>
        </w:tc>
      </w:tr>
      <w:tr w:rsidR="007B61DB" w14:paraId="430725B8" w14:textId="77777777">
        <w:tc>
          <w:tcPr>
            <w:tcW w:w="1995" w:type="dxa"/>
          </w:tcPr>
          <w:p w14:paraId="160E22A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7535BE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Atbalsta rezultātā izveidoto pētniecības darbavietu skaits. </w:t>
            </w:r>
          </w:p>
          <w:p w14:paraId="13F93F2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Rādītājs tiek mērīts pēc gada vidējā pilna laika ekvivalenta (</w:t>
            </w:r>
            <w:proofErr w:type="spellStart"/>
            <w:r>
              <w:rPr>
                <w:rFonts w:ascii="Times New Roman" w:eastAsia="Times New Roman" w:hAnsi="Times New Roman" w:cs="Times New Roman"/>
                <w:sz w:val="20"/>
                <w:szCs w:val="20"/>
              </w:rPr>
              <w:t>FTEs</w:t>
            </w:r>
            <w:proofErr w:type="spellEnd"/>
            <w:r>
              <w:rPr>
                <w:rFonts w:ascii="Times New Roman" w:eastAsia="Times New Roman" w:hAnsi="Times New Roman" w:cs="Times New Roman"/>
                <w:sz w:val="20"/>
                <w:szCs w:val="20"/>
              </w:rPr>
              <w:t xml:space="preserve">), kas aprēķināts saskaņā ar OECD </w:t>
            </w:r>
            <w:proofErr w:type="spellStart"/>
            <w:r>
              <w:rPr>
                <w:rFonts w:ascii="Times New Roman" w:eastAsia="Times New Roman" w:hAnsi="Times New Roman" w:cs="Times New Roman"/>
                <w:sz w:val="20"/>
                <w:szCs w:val="20"/>
              </w:rPr>
              <w:t>Frascati</w:t>
            </w:r>
            <w:proofErr w:type="spellEnd"/>
            <w:r>
              <w:rPr>
                <w:rFonts w:ascii="Times New Roman" w:eastAsia="Times New Roman" w:hAnsi="Times New Roman" w:cs="Times New Roman"/>
                <w:sz w:val="20"/>
                <w:szCs w:val="20"/>
              </w:rPr>
              <w:t xml:space="preserve"> rokasgrāmatā 2015. gadā sniegto metodiku. Netiek ieskaitītas arī brīvās pētniecības un izstrādes vietas, kā arī pētniecības un attīstības atbalsta personāls (</w:t>
            </w:r>
            <w:proofErr w:type="spellStart"/>
            <w:r>
              <w:rPr>
                <w:rFonts w:ascii="Times New Roman" w:eastAsia="Times New Roman" w:hAnsi="Times New Roman" w:cs="Times New Roman"/>
                <w:sz w:val="20"/>
                <w:szCs w:val="20"/>
              </w:rPr>
              <w:t>ti</w:t>
            </w:r>
            <w:proofErr w:type="spellEnd"/>
            <w:r>
              <w:rPr>
                <w:rFonts w:ascii="Times New Roman" w:eastAsia="Times New Roman" w:hAnsi="Times New Roman" w:cs="Times New Roman"/>
                <w:sz w:val="20"/>
                <w:szCs w:val="20"/>
              </w:rPr>
              <w:t xml:space="preserve">, amati, kas nav tieši iesaistīti pētniecības un attīstības darbībās). Pētniecības un attīstības personāla gada pilnslodzes ekvivalents tiek definēts kā darba laika, kas faktiski pavadīts pētniecībai un attīstībai kalendārā gada laikā, attiecība pret kopējo stundu skaitu, ko tajā pašā periodā parasti nostrādāja indivīds vai grupa. </w:t>
            </w:r>
          </w:p>
          <w:p w14:paraId="5BF78DC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Pēc vienošanās persona gadā nevar veikt vairāk kā vienu pilnslodzes ekvivalentu pētniecībā un attīstībā. Parasto nostrādāto stundu skaitu nosaka, pamatojoties uz normatīvo / likumā noteikto darba laiku. Pilna laika persona tiks identificēta, ņemot vērā viņu nodarbinātības statusu, līguma veidu (pilna vai nepilna laika) un iesaistīšanās līmeni pētniecībā un attīstībā (sk. OECD atsauces 5.3. Nodaļu).</w:t>
            </w:r>
            <w:r>
              <w:rPr>
                <w:rFonts w:ascii="Times New Roman" w:eastAsia="Times New Roman" w:hAnsi="Times New Roman" w:cs="Times New Roman"/>
                <w:sz w:val="20"/>
                <w:szCs w:val="20"/>
                <w:vertAlign w:val="superscript"/>
              </w:rPr>
              <w:footnoteReference w:id="14"/>
            </w:r>
          </w:p>
        </w:tc>
      </w:tr>
      <w:tr w:rsidR="007B61DB" w14:paraId="164E540D" w14:textId="77777777">
        <w:tc>
          <w:tcPr>
            <w:tcW w:w="1995" w:type="dxa"/>
          </w:tcPr>
          <w:p w14:paraId="043EEB8C"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Rādītāja veids</w:t>
            </w:r>
            <w:r>
              <w:rPr>
                <w:rFonts w:ascii="Times New Roman" w:eastAsia="Times New Roman" w:hAnsi="Times New Roman" w:cs="Times New Roman"/>
                <w:sz w:val="20"/>
                <w:szCs w:val="20"/>
              </w:rPr>
              <w:t xml:space="preserve"> </w:t>
            </w:r>
          </w:p>
        </w:tc>
        <w:tc>
          <w:tcPr>
            <w:tcW w:w="7072" w:type="dxa"/>
          </w:tcPr>
          <w:p w14:paraId="7CDF1C5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Rezultāta rādītājs</w:t>
            </w:r>
          </w:p>
        </w:tc>
      </w:tr>
      <w:tr w:rsidR="007B61DB" w14:paraId="40C0E17D" w14:textId="77777777">
        <w:tc>
          <w:tcPr>
            <w:tcW w:w="1995" w:type="dxa"/>
          </w:tcPr>
          <w:p w14:paraId="55FB3DA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227A1694"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Pētniecības darbavietu skaits atbalstītajās vienībās (pilnas slodzes ekvivalents)</w:t>
            </w:r>
          </w:p>
        </w:tc>
      </w:tr>
      <w:tr w:rsidR="007B61DB" w14:paraId="13656DE6" w14:textId="77777777">
        <w:tc>
          <w:tcPr>
            <w:tcW w:w="1995" w:type="dxa"/>
          </w:tcPr>
          <w:p w14:paraId="42975B51"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4397034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7B61DB" w14:paraId="03AFB9F0" w14:textId="77777777">
        <w:tc>
          <w:tcPr>
            <w:tcW w:w="1995" w:type="dxa"/>
          </w:tcPr>
          <w:p w14:paraId="3535BF6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Starpposma vērtība</w:t>
            </w:r>
            <w:r>
              <w:rPr>
                <w:rFonts w:ascii="Times New Roman" w:eastAsia="Times New Roman" w:hAnsi="Times New Roman" w:cs="Times New Roman"/>
                <w:sz w:val="20"/>
                <w:szCs w:val="20"/>
              </w:rPr>
              <w:t xml:space="preserve"> uz 31.12.2024.</w:t>
            </w:r>
          </w:p>
        </w:tc>
        <w:tc>
          <w:tcPr>
            <w:tcW w:w="7072" w:type="dxa"/>
          </w:tcPr>
          <w:p w14:paraId="69FC0098"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58C41C36" w14:textId="77777777">
        <w:tc>
          <w:tcPr>
            <w:tcW w:w="1995" w:type="dxa"/>
          </w:tcPr>
          <w:p w14:paraId="077CE33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Sasniedzamā vērtība</w:t>
            </w:r>
            <w:r>
              <w:rPr>
                <w:rFonts w:ascii="Times New Roman" w:eastAsia="Times New Roman" w:hAnsi="Times New Roman" w:cs="Times New Roman"/>
                <w:sz w:val="20"/>
                <w:szCs w:val="20"/>
              </w:rPr>
              <w:t xml:space="preserve"> uz 31.12.2029.</w:t>
            </w:r>
          </w:p>
        </w:tc>
        <w:tc>
          <w:tcPr>
            <w:tcW w:w="7072" w:type="dxa"/>
          </w:tcPr>
          <w:p w14:paraId="5D24685A"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107 </w:t>
            </w:r>
          </w:p>
        </w:tc>
      </w:tr>
      <w:tr w:rsidR="007B61DB" w14:paraId="17406A3D" w14:textId="77777777">
        <w:tc>
          <w:tcPr>
            <w:tcW w:w="1995" w:type="dxa"/>
            <w:vMerge w:val="restart"/>
          </w:tcPr>
          <w:p w14:paraId="767B237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5"/>
            </w:r>
          </w:p>
          <w:p w14:paraId="6D0BD8D4" w14:textId="77777777" w:rsidR="007B61DB" w:rsidRDefault="007B61DB">
            <w:pPr>
              <w:spacing w:after="0" w:line="240" w:lineRule="auto"/>
              <w:jc w:val="both"/>
              <w:rPr>
                <w:rFonts w:ascii="Times New Roman" w:eastAsia="Times New Roman" w:hAnsi="Times New Roman" w:cs="Times New Roman"/>
                <w:sz w:val="20"/>
                <w:szCs w:val="20"/>
              </w:rPr>
            </w:pPr>
          </w:p>
        </w:tc>
        <w:tc>
          <w:tcPr>
            <w:tcW w:w="7072" w:type="dxa"/>
          </w:tcPr>
          <w:p w14:paraId="7A8A262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Kritēriji rādītāju izvēlei</w:t>
            </w:r>
            <w:r>
              <w:rPr>
                <w:rFonts w:ascii="Times New Roman" w:eastAsia="Times New Roman" w:hAnsi="Times New Roman" w:cs="Times New Roman"/>
                <w:sz w:val="20"/>
                <w:szCs w:val="20"/>
              </w:rPr>
              <w:t xml:space="preserve">: </w:t>
            </w:r>
          </w:p>
          <w:p w14:paraId="20E606E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3A46F77"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4654F901"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Būtiskums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attiecībā uz plānotajiem ieguldījumiem.</w:t>
            </w:r>
            <w:r>
              <w:rPr>
                <w:rFonts w:ascii="Times New Roman" w:eastAsia="Times New Roman" w:hAnsi="Times New Roman" w:cs="Times New Roman"/>
                <w:color w:val="000000"/>
                <w:sz w:val="20"/>
                <w:szCs w:val="20"/>
              </w:rPr>
              <w:t xml:space="preserve"> Tai skaitā tika apzināts, vai izvēlētais rādītājs atspoguļo pietiekami būtisku apjomu no SAM ietvaros plānotajām darbībām, gadījumos, kad viena SAM ietvaros plānoto darbību klāsts ir gana plašs.</w:t>
            </w:r>
          </w:p>
          <w:p w14:paraId="44E16DDC" w14:textId="77777777" w:rsidR="007B61DB" w:rsidRDefault="00432B6E">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A5A0950" w14:textId="77777777">
        <w:tc>
          <w:tcPr>
            <w:tcW w:w="1995" w:type="dxa"/>
            <w:vMerge/>
          </w:tcPr>
          <w:p w14:paraId="1D386D6B"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tcPr>
          <w:p w14:paraId="18CA71BF"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16"/>
            </w:r>
          </w:p>
          <w:p w14:paraId="297A77FE"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 gada plānošanas periodā gūtā pieredze 1.1.1.1.pasākuma “Praktiskas ievirzes pētījumi” un 1.1.1.2.pasākuma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atbalsts” īstenošanā (saistītā ar jauno pētnieku amata vietu izveidi); Projektu dati.</w:t>
            </w:r>
          </w:p>
        </w:tc>
      </w:tr>
      <w:tr w:rsidR="007B61DB" w14:paraId="2E1FFDF5" w14:textId="77777777">
        <w:tc>
          <w:tcPr>
            <w:tcW w:w="1995" w:type="dxa"/>
            <w:vMerge/>
          </w:tcPr>
          <w:p w14:paraId="4B242B3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4599A43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aprēķini un pieņēmumi, kas izmantoti aprēķiniem</w:t>
            </w:r>
          </w:p>
          <w:p w14:paraId="323D61F1" w14:textId="77777777" w:rsidR="007B61DB" w:rsidRDefault="007B61DB">
            <w:pPr>
              <w:spacing w:after="0" w:line="240" w:lineRule="auto"/>
              <w:jc w:val="both"/>
              <w:rPr>
                <w:rFonts w:ascii="Times New Roman" w:eastAsia="Times New Roman" w:hAnsi="Times New Roman" w:cs="Times New Roman"/>
                <w:b/>
                <w:sz w:val="20"/>
                <w:szCs w:val="20"/>
              </w:rPr>
            </w:pPr>
          </w:p>
          <w:p w14:paraId="77E3287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6094A690" w14:textId="77777777" w:rsidR="007B61DB" w:rsidRDefault="007B61DB">
            <w:pPr>
              <w:spacing w:after="0" w:line="240" w:lineRule="auto"/>
              <w:jc w:val="both"/>
              <w:rPr>
                <w:rFonts w:ascii="Times New Roman" w:eastAsia="Times New Roman" w:hAnsi="Times New Roman" w:cs="Times New Roman"/>
                <w:b/>
                <w:sz w:val="20"/>
                <w:szCs w:val="20"/>
              </w:rPr>
            </w:pPr>
          </w:p>
          <w:p w14:paraId="41C6BED9"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PLE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programma) + 67 PLE (Doktorantūras grantu programma) = 107 PLE</w:t>
            </w:r>
          </w:p>
          <w:p w14:paraId="00947130" w14:textId="77777777" w:rsidR="007B61DB" w:rsidRDefault="007B61DB">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59C6F68F"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Pieņēmumi, kas izmantoti aprēķinam:</w:t>
            </w:r>
          </w:p>
          <w:p w14:paraId="40EDA7AA" w14:textId="77777777" w:rsidR="007B61DB" w:rsidRDefault="00432B6E">
            <w:pPr>
              <w:numPr>
                <w:ilvl w:val="0"/>
                <w:numId w:val="10"/>
              </w:numPr>
              <w:spacing w:after="0" w:line="240" w:lineRule="auto"/>
              <w:ind w:left="357" w:hanging="357"/>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programmā plānots sniegt atbalstu 132 </w:t>
            </w:r>
            <w:proofErr w:type="spellStart"/>
            <w:r>
              <w:rPr>
                <w:rFonts w:ascii="Times New Roman" w:eastAsia="Times New Roman" w:hAnsi="Times New Roman" w:cs="Times New Roman"/>
                <w:sz w:val="20"/>
                <w:szCs w:val="20"/>
              </w:rPr>
              <w:t>pēcdoktorantiem</w:t>
            </w:r>
            <w:proofErr w:type="spellEnd"/>
            <w:r>
              <w:rPr>
                <w:rFonts w:ascii="Times New Roman" w:eastAsia="Times New Roman" w:hAnsi="Times New Roman" w:cs="Times New Roman"/>
                <w:sz w:val="20"/>
                <w:szCs w:val="20"/>
              </w:rPr>
              <w:t xml:space="preserve">, no kuriem 70%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būs tādi, kas jau ir zinātniskajās institūcijās nodarbināti kā zinātniskais personāls, savukārt 30% no īstenotajiem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pieteikumiem zinātniskajās institūcijas varētu tikt izveidotas jaunas amata vietas indikatīvi 40 PLE apmērā, t.i. 132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pieteikumi * 30% = 40 PLE.</w:t>
            </w:r>
          </w:p>
          <w:p w14:paraId="7845F048" w14:textId="77777777" w:rsidR="007B61DB" w:rsidRDefault="00432B6E">
            <w:pPr>
              <w:numPr>
                <w:ilvl w:val="0"/>
                <w:numId w:val="10"/>
              </w:numPr>
              <w:spacing w:after="0" w:line="240" w:lineRule="auto"/>
              <w:ind w:left="35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Doktorantūras grantu programmā plānots sniegt atbalstu 267 doktorantiem, no kuriem zinātniskajās institūcijās jaunas amata vietas varētu tikt izveidotas aptuveni 133 doktorantiem, kuru vidējā noslodze varētu būt indikatīvi 0,5 PLE. Tādējādi doktorantūras grantu programmā zinātniskajās institūcijās kopumā varētu tikt izveidotas jaunas amata vietas indikatīvi 67 PLE apmērā.</w:t>
            </w:r>
          </w:p>
        </w:tc>
      </w:tr>
      <w:tr w:rsidR="007B61DB" w14:paraId="011F69CD" w14:textId="77777777">
        <w:tc>
          <w:tcPr>
            <w:tcW w:w="1995" w:type="dxa"/>
            <w:vMerge/>
          </w:tcPr>
          <w:p w14:paraId="1C5E66F7"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6CA0C5B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6ECE7305"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RCR 102 tiek piemērots attiecībā uz plānotajiem 1.1.1.SAM ieguldījumiem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pieteikumu un doktorantūras grantu īstenošanai.</w:t>
            </w:r>
          </w:p>
        </w:tc>
      </w:tr>
      <w:tr w:rsidR="007B61DB" w14:paraId="732A78A4" w14:textId="77777777">
        <w:tc>
          <w:tcPr>
            <w:tcW w:w="1995" w:type="dxa"/>
            <w:vMerge/>
          </w:tcPr>
          <w:p w14:paraId="2D2A8F00"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tcPr>
          <w:p w14:paraId="54BCCF5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6A6A0D02" w14:textId="77777777" w:rsidR="007B61DB" w:rsidRDefault="00432B6E">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Nepietiekams zinātnisko institūciju finansējums zinātniskās darbības un pētniecības rezultātu ilgtspējas nodrošināšanai, kas var atstāt negatīvu iespaidu uz zinātniskajā institūcijā nodarbināto skaita pieaugumu. Riska vērtējums – vidējs.</w:t>
            </w:r>
          </w:p>
          <w:p w14:paraId="0181FF44" w14:textId="77777777" w:rsidR="007B61DB" w:rsidRDefault="00432B6E">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Inflācijas ietekme uz pētniecības personāla iesaisti, tas ir, jāņem vērā, ka inflācijas gadījumā pastāv varbūtība par līdzīga finansējuma apjomu atbalstīt mazāku pētnieku skaitu.</w:t>
            </w:r>
          </w:p>
        </w:tc>
      </w:tr>
      <w:tr w:rsidR="007B61DB" w14:paraId="0CC7AAB1" w14:textId="77777777">
        <w:tc>
          <w:tcPr>
            <w:tcW w:w="1995" w:type="dxa"/>
          </w:tcPr>
          <w:p w14:paraId="3F631A7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Rādītāja sasniegšana </w:t>
            </w:r>
          </w:p>
        </w:tc>
        <w:tc>
          <w:tcPr>
            <w:tcW w:w="7072" w:type="dxa"/>
          </w:tcPr>
          <w:p w14:paraId="57FB72BD"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tiek uzskatīts par izpildītu, ja ar pētnieku noslēgts darba līgums vai </w:t>
            </w:r>
            <w:proofErr w:type="spellStart"/>
            <w:r>
              <w:rPr>
                <w:rFonts w:ascii="Times New Roman" w:eastAsia="Times New Roman" w:hAnsi="Times New Roman" w:cs="Times New Roman"/>
                <w:sz w:val="20"/>
                <w:szCs w:val="20"/>
              </w:rPr>
              <w:t>papildvienošanās</w:t>
            </w:r>
            <w:proofErr w:type="spellEnd"/>
            <w:r>
              <w:rPr>
                <w:rFonts w:ascii="Times New Roman" w:eastAsia="Times New Roman" w:hAnsi="Times New Roman" w:cs="Times New Roman"/>
                <w:sz w:val="20"/>
                <w:szCs w:val="20"/>
              </w:rPr>
              <w:t xml:space="preserve"> (ja attiecināms) par nodarbinātību projekta ietvaros </w:t>
            </w:r>
            <w:proofErr w:type="spellStart"/>
            <w:r>
              <w:rPr>
                <w:rFonts w:ascii="Times New Roman" w:eastAsia="Times New Roman" w:hAnsi="Times New Roman" w:cs="Times New Roman"/>
                <w:sz w:val="20"/>
                <w:szCs w:val="20"/>
              </w:rPr>
              <w:t>jaunizveidotajā</w:t>
            </w:r>
            <w:proofErr w:type="spellEnd"/>
            <w:r>
              <w:rPr>
                <w:rFonts w:ascii="Times New Roman" w:eastAsia="Times New Roman" w:hAnsi="Times New Roman" w:cs="Times New Roman"/>
                <w:sz w:val="20"/>
                <w:szCs w:val="20"/>
              </w:rPr>
              <w:t xml:space="preserve"> amata vietā (tiek pārbaudīts pie maksājuma pieprasījuma) un jaunizveidotā darba vieta tiek saglabāta vismaz vienu gadu pēc projekta īstenošanas beigām.</w:t>
            </w:r>
          </w:p>
          <w:p w14:paraId="646DB43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Termins “Pētnieks” šī iznākuma rādītāja ietvaros ir šādas pētniecībā tieši iesaistītas personas:</w:t>
            </w:r>
          </w:p>
          <w:p w14:paraId="5FA8AAD4" w14:textId="77777777" w:rsidR="007B61DB" w:rsidRDefault="00432B6E">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atbilstoši zinātnisko darbību reglamentējošiem normatīvajiem aktiem ievēlētās personas – vadošais pētnieks, pētnieks un zinātniskais asistents;</w:t>
            </w:r>
          </w:p>
          <w:p w14:paraId="64AE6DF7" w14:textId="77777777" w:rsidR="007B61DB" w:rsidRDefault="00432B6E">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zinātnes tehniskais personāls</w:t>
            </w:r>
            <w:r>
              <w:rPr>
                <w:rFonts w:ascii="Times New Roman" w:eastAsia="Times New Roman" w:hAnsi="Times New Roman" w:cs="Times New Roman"/>
                <w:color w:val="000000"/>
                <w:sz w:val="20"/>
                <w:szCs w:val="20"/>
                <w:vertAlign w:val="superscript"/>
              </w:rPr>
              <w:footnoteReference w:id="17"/>
            </w:r>
            <w:r>
              <w:rPr>
                <w:rFonts w:ascii="Times New Roman" w:eastAsia="Times New Roman" w:hAnsi="Times New Roman" w:cs="Times New Roman"/>
                <w:color w:val="000000"/>
                <w:sz w:val="20"/>
                <w:szCs w:val="20"/>
              </w:rPr>
              <w:t>;</w:t>
            </w:r>
          </w:p>
          <w:p w14:paraId="12BD8C9A" w14:textId="77777777" w:rsidR="007B61DB" w:rsidRDefault="00432B6E">
            <w:pPr>
              <w:numPr>
                <w:ilvl w:val="0"/>
                <w:numId w:val="11"/>
              </w:numPr>
              <w:pBdr>
                <w:top w:val="nil"/>
                <w:left w:val="nil"/>
                <w:bottom w:val="nil"/>
                <w:right w:val="nil"/>
                <w:between w:val="nil"/>
              </w:pBdr>
              <w:spacing w:after="0" w:line="240" w:lineRule="auto"/>
              <w:ind w:left="357" w:hanging="35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privāto tiesību juridisko personu institūcijā strādājošās personas, kas tieši iesaistītas pētniecībā un vadošā pētnieka, pētnieka, zinātniskā asistenta vai zinātnes tehniskā personāla pienākumus. </w:t>
            </w:r>
          </w:p>
        </w:tc>
      </w:tr>
    </w:tbl>
    <w:p w14:paraId="62EC0B5C" w14:textId="77777777" w:rsidR="007B61DB" w:rsidRDefault="007B61DB">
      <w:pPr>
        <w:spacing w:after="0" w:line="240" w:lineRule="auto"/>
        <w:jc w:val="both"/>
        <w:rPr>
          <w:rFonts w:ascii="Times New Roman" w:eastAsia="Times New Roman" w:hAnsi="Times New Roman" w:cs="Times New Roman"/>
          <w:sz w:val="20"/>
          <w:szCs w:val="20"/>
        </w:rPr>
      </w:pPr>
    </w:p>
    <w:p w14:paraId="147CB811" w14:textId="77777777" w:rsidR="007B61DB" w:rsidRDefault="007B61DB">
      <w:pPr>
        <w:spacing w:after="0" w:line="240" w:lineRule="auto"/>
        <w:ind w:firstLine="720"/>
        <w:jc w:val="both"/>
        <w:rPr>
          <w:rFonts w:ascii="Times New Roman" w:eastAsia="Times New Roman" w:hAnsi="Times New Roman" w:cs="Times New Roman"/>
          <w:sz w:val="20"/>
          <w:szCs w:val="20"/>
        </w:rPr>
      </w:pPr>
    </w:p>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7B61DB" w14:paraId="3C58E9EA" w14:textId="77777777">
        <w:tc>
          <w:tcPr>
            <w:tcW w:w="1995" w:type="dxa"/>
          </w:tcPr>
          <w:p w14:paraId="0FAE306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Nr. (ID)</w:t>
            </w:r>
          </w:p>
        </w:tc>
        <w:tc>
          <w:tcPr>
            <w:tcW w:w="7072" w:type="dxa"/>
          </w:tcPr>
          <w:p w14:paraId="2882C8A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RCR 02</w:t>
            </w:r>
          </w:p>
        </w:tc>
      </w:tr>
      <w:tr w:rsidR="007B61DB" w14:paraId="093ABDBD" w14:textId="77777777">
        <w:tc>
          <w:tcPr>
            <w:tcW w:w="1995" w:type="dxa"/>
          </w:tcPr>
          <w:p w14:paraId="3A128CC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Rādītāja nosaukums</w:t>
            </w:r>
          </w:p>
        </w:tc>
        <w:tc>
          <w:tcPr>
            <w:tcW w:w="7072" w:type="dxa"/>
          </w:tcPr>
          <w:p w14:paraId="74AF6EC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Publisko atbalstu papildinošās privātās investīcijas (tai skaitā: granti, finanšu instrumenti) </w:t>
            </w:r>
          </w:p>
        </w:tc>
      </w:tr>
      <w:tr w:rsidR="007B61DB" w14:paraId="084BC5BD" w14:textId="77777777">
        <w:tc>
          <w:tcPr>
            <w:tcW w:w="1995" w:type="dxa"/>
          </w:tcPr>
          <w:p w14:paraId="2D8DBA8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1398FBB"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Kopējais privātais ieguldījums, līdzfinansējot atbalstītos projektus, ja atbalsta forma ir grants vai finanšu instruments. Rādītājs aptver arī neattiecināmo projekta izmaksu daļu, ieskaitot PVN. Valsts uzņēmumiem rādītājs aptver līdzfinansējuma iemaksas no viņu pašu budžeta. Rādītājs jāaprēķina, pamatojoties uz privāto līdzfinansējumu, kas paredzēts finansēšanas līgumos.</w:t>
            </w:r>
            <w:r>
              <w:rPr>
                <w:rFonts w:ascii="Times New Roman" w:eastAsia="Times New Roman" w:hAnsi="Times New Roman" w:cs="Times New Roman"/>
                <w:sz w:val="20"/>
                <w:szCs w:val="20"/>
                <w:vertAlign w:val="superscript"/>
              </w:rPr>
              <w:t xml:space="preserve"> </w:t>
            </w:r>
            <w:r>
              <w:rPr>
                <w:rFonts w:ascii="Times New Roman" w:eastAsia="Times New Roman" w:hAnsi="Times New Roman" w:cs="Times New Roman"/>
                <w:sz w:val="20"/>
                <w:szCs w:val="20"/>
                <w:vertAlign w:val="superscript"/>
              </w:rPr>
              <w:footnoteReference w:id="18"/>
            </w:r>
            <w:r>
              <w:rPr>
                <w:rFonts w:ascii="Times New Roman" w:eastAsia="Times New Roman" w:hAnsi="Times New Roman" w:cs="Times New Roman"/>
                <w:sz w:val="20"/>
                <w:szCs w:val="20"/>
              </w:rPr>
              <w:t xml:space="preserve"> Finanšu instrumentu gadījumā tas ir paredzēts gan starpnieka (fonda pārvaldnieka), gan atbalsta saņēmēja privātajam finansējumam.</w:t>
            </w:r>
          </w:p>
        </w:tc>
      </w:tr>
      <w:tr w:rsidR="007B61DB" w14:paraId="7FA6862F" w14:textId="77777777">
        <w:tc>
          <w:tcPr>
            <w:tcW w:w="1995" w:type="dxa"/>
          </w:tcPr>
          <w:p w14:paraId="5DED9E1A"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veids </w:t>
            </w:r>
          </w:p>
        </w:tc>
        <w:tc>
          <w:tcPr>
            <w:tcW w:w="7072" w:type="dxa"/>
          </w:tcPr>
          <w:p w14:paraId="7FD73F5B" w14:textId="77777777" w:rsidR="007B61DB" w:rsidRDefault="00432B6E">
            <w:pPr>
              <w:spacing w:after="0" w:line="240" w:lineRule="auto"/>
              <w:jc w:val="both"/>
              <w:rPr>
                <w:rFonts w:ascii="Times New Roman" w:eastAsia="Times New Roman" w:hAnsi="Times New Roman" w:cs="Times New Roman"/>
                <w:sz w:val="20"/>
                <w:szCs w:val="20"/>
              </w:rPr>
            </w:pPr>
            <w:bookmarkStart w:id="2" w:name="_heading=h.dw2oj7tdbrrx" w:colFirst="0" w:colLast="0"/>
            <w:bookmarkEnd w:id="2"/>
            <w:r>
              <w:rPr>
                <w:rFonts w:ascii="Times New Roman" w:eastAsia="Times New Roman" w:hAnsi="Times New Roman" w:cs="Times New Roman"/>
                <w:sz w:val="20"/>
                <w:szCs w:val="20"/>
              </w:rPr>
              <w:t>Rezultāta rādītājs</w:t>
            </w:r>
          </w:p>
        </w:tc>
      </w:tr>
      <w:tr w:rsidR="007B61DB" w14:paraId="13CE965C" w14:textId="77777777">
        <w:tc>
          <w:tcPr>
            <w:tcW w:w="1995" w:type="dxa"/>
          </w:tcPr>
          <w:p w14:paraId="3276AA4B"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Rādītāja mērvienība</w:t>
            </w:r>
          </w:p>
        </w:tc>
        <w:tc>
          <w:tcPr>
            <w:tcW w:w="7072" w:type="dxa"/>
          </w:tcPr>
          <w:p w14:paraId="0D6FC469"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7B61DB" w14:paraId="315431D1" w14:textId="77777777">
        <w:tc>
          <w:tcPr>
            <w:tcW w:w="1995" w:type="dxa"/>
          </w:tcPr>
          <w:p w14:paraId="776B1352"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Bāzes (sākotnējās) vērtības gads un bāzes vērtība</w:t>
            </w:r>
          </w:p>
        </w:tc>
        <w:tc>
          <w:tcPr>
            <w:tcW w:w="7072" w:type="dxa"/>
          </w:tcPr>
          <w:p w14:paraId="61D1311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2020.gads: 0</w:t>
            </w:r>
          </w:p>
        </w:tc>
      </w:tr>
      <w:tr w:rsidR="007B61DB" w14:paraId="1C345770" w14:textId="77777777">
        <w:tc>
          <w:tcPr>
            <w:tcW w:w="1995" w:type="dxa"/>
          </w:tcPr>
          <w:p w14:paraId="0607F433"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Starpposma vērtība uz 31.12.2024.</w:t>
            </w:r>
          </w:p>
        </w:tc>
        <w:tc>
          <w:tcPr>
            <w:tcW w:w="7072" w:type="dxa"/>
          </w:tcPr>
          <w:p w14:paraId="7A2FF0C3"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r>
      <w:tr w:rsidR="007B61DB" w14:paraId="6647412A" w14:textId="77777777">
        <w:tc>
          <w:tcPr>
            <w:tcW w:w="1995" w:type="dxa"/>
          </w:tcPr>
          <w:p w14:paraId="1F0B1B1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Sasniedzamā vērtība uz 31.12.2029.</w:t>
            </w:r>
          </w:p>
        </w:tc>
        <w:tc>
          <w:tcPr>
            <w:tcW w:w="7072" w:type="dxa"/>
          </w:tcPr>
          <w:p w14:paraId="0819F13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14 036 640 EUR</w:t>
            </w:r>
          </w:p>
        </w:tc>
      </w:tr>
      <w:tr w:rsidR="007B61DB" w14:paraId="5C8ABD62" w14:textId="77777777">
        <w:tc>
          <w:tcPr>
            <w:tcW w:w="1995" w:type="dxa"/>
            <w:vMerge w:val="restart"/>
          </w:tcPr>
          <w:p w14:paraId="569BC9F7"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Pieņēmumi un aprēķini</w:t>
            </w:r>
            <w:r>
              <w:rPr>
                <w:rFonts w:ascii="Times New Roman" w:eastAsia="Times New Roman" w:hAnsi="Times New Roman" w:cs="Times New Roman"/>
                <w:b/>
                <w:sz w:val="20"/>
                <w:szCs w:val="20"/>
                <w:vertAlign w:val="superscript"/>
              </w:rPr>
              <w:footnoteReference w:id="19"/>
            </w:r>
          </w:p>
          <w:p w14:paraId="319FDD2D" w14:textId="77777777" w:rsidR="007B61DB" w:rsidRDefault="007B61DB">
            <w:pPr>
              <w:spacing w:after="0" w:line="240" w:lineRule="auto"/>
              <w:jc w:val="both"/>
              <w:rPr>
                <w:rFonts w:ascii="Times New Roman" w:eastAsia="Times New Roman" w:hAnsi="Times New Roman" w:cs="Times New Roman"/>
                <w:b/>
                <w:sz w:val="20"/>
                <w:szCs w:val="20"/>
              </w:rPr>
            </w:pPr>
          </w:p>
        </w:tc>
        <w:tc>
          <w:tcPr>
            <w:tcW w:w="7072" w:type="dxa"/>
          </w:tcPr>
          <w:p w14:paraId="5CF4D605"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Kritēriji rādītāju izvēlei </w:t>
            </w:r>
          </w:p>
          <w:p w14:paraId="37C37361"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02E29DA"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Sasaiste ar plānotajiem ieguldījumiem.</w:t>
            </w:r>
            <w:r>
              <w:rPr>
                <w:rFonts w:ascii="Times New Roman" w:eastAsia="Times New Roman" w:hAnsi="Times New Roman" w:cs="Times New Roman"/>
                <w:color w:val="000000"/>
                <w:sz w:val="20"/>
                <w:szCs w:val="20"/>
              </w:rPr>
              <w:t xml:space="preserve"> Rādītāju izvēlē tika ņemts vērā, vai izvēlētais rādītājs var atspoguļot rezultātus un ietekmi, ko radīs veiktie ieguldījumi. </w:t>
            </w:r>
          </w:p>
          <w:p w14:paraId="66087353"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Būtiskums attiecībā uz plānotajiem ieguldījumiem. </w:t>
            </w:r>
            <w:r>
              <w:rPr>
                <w:rFonts w:ascii="Times New Roman" w:eastAsia="Times New Roman" w:hAnsi="Times New Roman" w:cs="Times New Roman"/>
                <w:color w:val="000000"/>
                <w:sz w:val="20"/>
                <w:szCs w:val="20"/>
              </w:rPr>
              <w:t>Tai skaitā tika apzināts, vai izvēlētais rādītājs atspoguļo pietiekami būtisku apjomu no SAM ietvaros plānotajām darbībām, gadījumos, kad viena SAM ietvaros plānoto darbību klāsts ir gana plašs.</w:t>
            </w:r>
          </w:p>
          <w:p w14:paraId="6D3D1CE7" w14:textId="77777777" w:rsidR="007B61DB" w:rsidRDefault="00432B6E">
            <w:pPr>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Datu pieejamība.</w:t>
            </w:r>
            <w:r>
              <w:rPr>
                <w:rFonts w:ascii="Times New Roman" w:eastAsia="Times New Roman" w:hAnsi="Times New Roman" w:cs="Times New Roman"/>
                <w:color w:val="000000"/>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7B61DB" w14:paraId="5CD3167A" w14:textId="77777777">
        <w:tc>
          <w:tcPr>
            <w:tcW w:w="1995" w:type="dxa"/>
            <w:vMerge/>
          </w:tcPr>
          <w:p w14:paraId="51902EFE"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p>
        </w:tc>
        <w:tc>
          <w:tcPr>
            <w:tcW w:w="7072" w:type="dxa"/>
            <w:shd w:val="clear" w:color="auto" w:fill="auto"/>
          </w:tcPr>
          <w:p w14:paraId="2367B0A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Informācijas avots</w:t>
            </w:r>
            <w:r>
              <w:rPr>
                <w:rFonts w:ascii="Times New Roman" w:eastAsia="Times New Roman" w:hAnsi="Times New Roman" w:cs="Times New Roman"/>
                <w:b/>
                <w:sz w:val="20"/>
                <w:szCs w:val="20"/>
                <w:vertAlign w:val="superscript"/>
              </w:rPr>
              <w:footnoteReference w:id="20"/>
            </w:r>
          </w:p>
          <w:p w14:paraId="5BF18DA0"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 fondu 2014.-2020.gada plānošanas periodā gūtā pieredze 1.1.1.1.pasākuma „Praktiskas ievirzes pētījumi”, 1.1.1.2.pasākuma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atbalsts” un 1.1.1.3.pasākuma „Inovāciju granti studentiem” projektu īstenošanā (saistībā ar piesaistītā privātā līdzfinansējuma nodrošināšanu); Projektu dati.</w:t>
            </w:r>
          </w:p>
        </w:tc>
      </w:tr>
      <w:tr w:rsidR="007B61DB" w14:paraId="17AA979D" w14:textId="77777777">
        <w:tc>
          <w:tcPr>
            <w:tcW w:w="1995" w:type="dxa"/>
            <w:vMerge/>
          </w:tcPr>
          <w:p w14:paraId="291240FB"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C539DEC"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Veiktie indikatīvie aprēķini un pieņēmumi, kas izmantoti aprēķiniem</w:t>
            </w:r>
          </w:p>
          <w:p w14:paraId="6EDE3E2C" w14:textId="77777777" w:rsidR="007B61DB" w:rsidRDefault="007B61DB">
            <w:pPr>
              <w:spacing w:after="0" w:line="240" w:lineRule="auto"/>
              <w:jc w:val="both"/>
              <w:rPr>
                <w:rFonts w:ascii="Times New Roman" w:eastAsia="Times New Roman" w:hAnsi="Times New Roman" w:cs="Times New Roman"/>
                <w:b/>
                <w:sz w:val="20"/>
                <w:szCs w:val="20"/>
              </w:rPr>
            </w:pPr>
          </w:p>
          <w:p w14:paraId="5F041D36"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Rādītāja vērtība ir aprēķināta, ņemot vērā arī elastības finansējumu.</w:t>
            </w:r>
          </w:p>
          <w:p w14:paraId="3BE18AF1" w14:textId="77777777" w:rsidR="007B61DB" w:rsidRDefault="007B61DB">
            <w:pPr>
              <w:spacing w:after="0" w:line="240" w:lineRule="auto"/>
              <w:jc w:val="both"/>
              <w:rPr>
                <w:rFonts w:ascii="Times New Roman" w:eastAsia="Times New Roman" w:hAnsi="Times New Roman" w:cs="Times New Roman"/>
                <w:b/>
                <w:sz w:val="20"/>
                <w:szCs w:val="20"/>
              </w:rPr>
            </w:pPr>
          </w:p>
          <w:p w14:paraId="569C0FB9" w14:textId="77777777" w:rsidR="007B61DB" w:rsidRDefault="00432B6E">
            <w:pPr>
              <w:pBdr>
                <w:top w:val="nil"/>
                <w:left w:val="nil"/>
                <w:bottom w:val="nil"/>
                <w:right w:val="nil"/>
                <w:between w:val="nil"/>
              </w:pBdr>
              <w:spacing w:after="0" w:line="240" w:lineRule="auto"/>
              <w:ind w:left="1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Praktiskas ievirzes pētījumi = [praktiskas ievirzes pētījumu programmai pieejamais finansējums, EUR] * 40% * [privātais finansējums, ko var piesaistīt pret milj. publiskā finansējuma ar saimniecisku darbību saistītu pētniecības projektu ietvaros ]/1 milj. EUR] + [praktiskas ievirzes pētījumu programmai pieejamais finansējums, EUR] * 40% * [privātais finansējums, ko var piesaistīt pret milj. publiskā finansējuma  ar saimniecisku darbību nesaistītu pētniecības organizāciju un saimnieciskās darbības veicēju sadarbības projektu ietvaros]/1 milj. EUR] = (41 760 000 * 40% * 663 000) + (41 760 000 * 40% * 47 000) = 11 859 840 EUR.</w:t>
            </w:r>
          </w:p>
          <w:p w14:paraId="3C1413AF" w14:textId="77777777" w:rsidR="007B61DB" w:rsidRDefault="00432B6E">
            <w:pPr>
              <w:numPr>
                <w:ilvl w:val="0"/>
                <w:numId w:val="19"/>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Inovāciju granti: 10 % * 16 500 000 EUR = 1 650 000 EUR.</w:t>
            </w:r>
          </w:p>
          <w:p w14:paraId="6943F47E" w14:textId="77777777" w:rsidR="007B61DB" w:rsidRDefault="00432B6E">
            <w:pPr>
              <w:numPr>
                <w:ilvl w:val="0"/>
                <w:numId w:val="19"/>
              </w:numPr>
              <w:pBdr>
                <w:top w:val="nil"/>
                <w:left w:val="nil"/>
                <w:bottom w:val="nil"/>
                <w:right w:val="nil"/>
                <w:between w:val="nil"/>
              </w:pBdr>
              <w:spacing w:after="0" w:line="240" w:lineRule="auto"/>
              <w:ind w:left="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programma: 26 340 000 EUR * 2% = 526 800 EUR</w:t>
            </w:r>
          </w:p>
          <w:p w14:paraId="6F077065" w14:textId="77777777" w:rsidR="007B61DB" w:rsidRDefault="007B61DB">
            <w:pPr>
              <w:spacing w:after="0" w:line="240" w:lineRule="auto"/>
              <w:ind w:hanging="295"/>
              <w:jc w:val="both"/>
              <w:rPr>
                <w:rFonts w:ascii="Times New Roman" w:eastAsia="Times New Roman" w:hAnsi="Times New Roman" w:cs="Times New Roman"/>
                <w:sz w:val="20"/>
                <w:szCs w:val="20"/>
              </w:rPr>
            </w:pPr>
          </w:p>
          <w:p w14:paraId="0B6FBEBE"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Kopā: 11 859 840 (praktiskas ievirzes pētījumu programma) + 1 650 000 (inovāciju granti) + 526 800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programma) = 14 036 640 EUR. </w:t>
            </w:r>
          </w:p>
          <w:p w14:paraId="58F52FCD" w14:textId="77777777" w:rsidR="007B61DB" w:rsidRDefault="007B61DB">
            <w:pPr>
              <w:spacing w:after="0" w:line="240" w:lineRule="auto"/>
              <w:jc w:val="both"/>
              <w:rPr>
                <w:rFonts w:ascii="Times New Roman" w:eastAsia="Times New Roman" w:hAnsi="Times New Roman" w:cs="Times New Roman"/>
                <w:sz w:val="20"/>
                <w:szCs w:val="20"/>
              </w:rPr>
            </w:pPr>
          </w:p>
          <w:p w14:paraId="5137AED4"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Pieņēmumi, kas izmantoti aprēķinam:</w:t>
            </w:r>
          </w:p>
          <w:p w14:paraId="603ACF4F" w14:textId="77777777" w:rsidR="007B61DB" w:rsidRDefault="00432B6E">
            <w:pPr>
              <w:numPr>
                <w:ilvl w:val="0"/>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Praktiskas ievirzes pētniecības projektu atbalsta programmas ietvaros:</w:t>
            </w:r>
          </w:p>
          <w:p w14:paraId="4B2FF0CD"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 publiskā attiecināmā finansējuma paredzēti saimnieciska rakstura projektu īstenošanai;</w:t>
            </w:r>
          </w:p>
          <w:p w14:paraId="0935BFEB"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 publiskā attiecināmā finansējuma paredzēti tādu ne-saimnieciska rakstura sadarbības projektu īstenošanai, kuru atlasē tiek piemēroti projektu iesniegumu vērtēšanas kritēriji, kas paredz piešķirt papildus punktus par pētniecības organizāciju sadarbību ar saimnieciskās darbības veicēju;</w:t>
            </w:r>
          </w:p>
          <w:p w14:paraId="6E104CDF"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atbilstoši ES fondu 2014.-2020. gada plānošanas periodā gūtajai pieredzei, piemērojot a)  apakšpunktā minētos nosacījumus, uz katru miljonu publiskā finansējuma ar saimniecisku darbību saistītu projektu ietvaros indikatīvi tika piesaistīti 663 000 EUR privātā attiecināmā finansējuma.</w:t>
            </w:r>
          </w:p>
          <w:p w14:paraId="0261F130"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atbilstoši ES fondu 2014.-2020. gada plānošanas periodā gūtajai pieredzei, piemērojot b) apakšpunktā minētos nosacījumus, uz katru miljonu publiskā finansējuma ar saimniecisku darbību nesaistītu sadarbības projektu ietvaros indikatīvi tika piesaistīti 47 000 EUR privātā finansējuma;</w:t>
            </w:r>
          </w:p>
          <w:p w14:paraId="026E80C1" w14:textId="77777777" w:rsidR="007B61DB" w:rsidRDefault="00432B6E">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 publiskā attiecināmā finansējuma paredzēti ar saimniecisku darbību nesaistītu pētniecības organizāciju individuāli īstenotu projektu atbalstam.</w:t>
            </w:r>
          </w:p>
          <w:p w14:paraId="644E1613" w14:textId="77777777" w:rsidR="007B61DB" w:rsidRDefault="00432B6E">
            <w:pPr>
              <w:numPr>
                <w:ilvl w:val="0"/>
                <w:numId w:val="9"/>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Inovāciju grantiem privātās investīcijas plānotas kā 10% līdzfinansējums no kopējā 13,94 milj. EUR finansējuma = 13,94 milj. EUR* 10% = 1,39 milj. EUR.</w:t>
            </w:r>
          </w:p>
          <w:p w14:paraId="22B1BCF4" w14:textId="77777777" w:rsidR="007B61DB" w:rsidRDefault="00432B6E">
            <w:pPr>
              <w:numPr>
                <w:ilvl w:val="0"/>
                <w:numId w:val="9"/>
              </w:numPr>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programmas ietvaros privātais līdzfinansējums plānots 2% apmērā no kopējā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pieteikumiem pieejamā finansējuma - 26,34 milj. EUR * 2% = 526 800 EUR (pieņēmuma, ka no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programmas finansējuma 27,8 milj. EUR apmērā: a)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pētījumiem tiek novirzīts kopējais attiecināmais finansējums 26,34 milj. EUR apmērā, b)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programmas administratīvās vadības nodrošināšanai pieejamais finansējums: 1,5 milj. EUR. Bez šī finansējuma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programmas ietvaros ir paredzēts finansējums doktorantūras programmas izveidei (0,87 milj. EUR) un izcila personāla piesaistei (6,09 milj. EUR), bet šis finansējums, tāpat kā šī punkta b) apakšpunktā minētais finansējums, netiek izmantots rādītāja aprēķiniem).</w:t>
            </w:r>
          </w:p>
        </w:tc>
      </w:tr>
      <w:tr w:rsidR="007B61DB" w14:paraId="0C242A18" w14:textId="77777777">
        <w:tc>
          <w:tcPr>
            <w:tcW w:w="1995" w:type="dxa"/>
            <w:vMerge/>
          </w:tcPr>
          <w:p w14:paraId="068713A4"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709378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Intervences loģika</w:t>
            </w:r>
          </w:p>
          <w:p w14:paraId="07A2D077" w14:textId="77777777" w:rsidR="007B61DB" w:rsidRDefault="00432B6E">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RCR 02 tiek piemērots attiecībā uz plānotajiem 1.1.1.SAM ieguldījumiem praktiskas ievirzes pētniecības projektu, </w:t>
            </w:r>
            <w:proofErr w:type="spellStart"/>
            <w:r>
              <w:rPr>
                <w:rFonts w:ascii="Times New Roman" w:eastAsia="Times New Roman" w:hAnsi="Times New Roman" w:cs="Times New Roman"/>
                <w:sz w:val="20"/>
                <w:szCs w:val="20"/>
              </w:rPr>
              <w:t>pēcdoktorantu</w:t>
            </w:r>
            <w:proofErr w:type="spellEnd"/>
            <w:r>
              <w:rPr>
                <w:rFonts w:ascii="Times New Roman" w:eastAsia="Times New Roman" w:hAnsi="Times New Roman" w:cs="Times New Roman"/>
                <w:sz w:val="20"/>
                <w:szCs w:val="20"/>
              </w:rPr>
              <w:t xml:space="preserve"> pētniecības pieteikumu un inovāciju grantu īstenošanai.</w:t>
            </w:r>
          </w:p>
        </w:tc>
      </w:tr>
      <w:tr w:rsidR="007B61DB" w14:paraId="5A40853A" w14:textId="77777777">
        <w:tc>
          <w:tcPr>
            <w:tcW w:w="1995" w:type="dxa"/>
            <w:vMerge/>
          </w:tcPr>
          <w:p w14:paraId="626F8B6C" w14:textId="77777777" w:rsidR="007B61DB" w:rsidRDefault="007B61DB">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6C448A9E"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Iespējamie riski</w:t>
            </w:r>
          </w:p>
          <w:p w14:paraId="1C86CE2E"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Ja praktiskas ievirzes pētījumu programmā piemēro minētos pieņēmumus, pastāv zems rādītāja neizpildes risks.</w:t>
            </w:r>
          </w:p>
          <w:p w14:paraId="7AA07B12"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Nepietiekams zinātnisko institūciju un augstskolu privātā līdzfinansējuma, kā arī saimnieciskās darbības veicēju līdzfinansējuma nodrošinājums praktiskas ievirzes pētniecības projektu,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un inovāciju grantu īstenošanai.</w:t>
            </w:r>
          </w:p>
          <w:p w14:paraId="799E62DD"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ES tiesību sistēmai neatbilstoša nacionālā tiesību sistēma zināšanu pārneses jomā; kas kavē SDV iesaisti sadarbības projektu īstenošanā. </w:t>
            </w:r>
          </w:p>
          <w:p w14:paraId="4C43A5E8" w14:textId="77777777" w:rsidR="007B61DB" w:rsidRDefault="00432B6E">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Nepietiekama saimnieciskās darbības veicēju interese un iesaiste praktiskas ievirzes pētniecības projektu, </w:t>
            </w:r>
            <w:proofErr w:type="spellStart"/>
            <w:r>
              <w:rPr>
                <w:rFonts w:ascii="Times New Roman" w:eastAsia="Times New Roman" w:hAnsi="Times New Roman" w:cs="Times New Roman"/>
                <w:color w:val="000000"/>
                <w:sz w:val="20"/>
                <w:szCs w:val="20"/>
              </w:rPr>
              <w:t>pēcdoktorantūras</w:t>
            </w:r>
            <w:proofErr w:type="spellEnd"/>
            <w:r>
              <w:rPr>
                <w:rFonts w:ascii="Times New Roman" w:eastAsia="Times New Roman" w:hAnsi="Times New Roman" w:cs="Times New Roman"/>
                <w:color w:val="000000"/>
                <w:sz w:val="20"/>
                <w:szCs w:val="20"/>
              </w:rPr>
              <w:t xml:space="preserve"> pētniecības pieteikumu un inovāciju grantu īstenošanā.</w:t>
            </w:r>
          </w:p>
        </w:tc>
      </w:tr>
      <w:tr w:rsidR="007B61DB" w14:paraId="4073E484" w14:textId="77777777">
        <w:tc>
          <w:tcPr>
            <w:tcW w:w="1995" w:type="dxa"/>
          </w:tcPr>
          <w:p w14:paraId="7843FB00" w14:textId="77777777" w:rsidR="007B61DB" w:rsidRDefault="00432B6E">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Rādītāja sasniegšana </w:t>
            </w:r>
          </w:p>
        </w:tc>
        <w:tc>
          <w:tcPr>
            <w:tcW w:w="7072" w:type="dxa"/>
            <w:shd w:val="clear" w:color="auto" w:fill="auto"/>
          </w:tcPr>
          <w:p w14:paraId="630135A5" w14:textId="77777777" w:rsidR="007B61DB" w:rsidRDefault="00432B6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Rādītājs uzskatāms par sasniegtu, kad maksājumu pieprasījuma dokumentācijā iekļauta informācija par praktiskās pētniecības, </w:t>
            </w:r>
            <w:proofErr w:type="spellStart"/>
            <w:r>
              <w:rPr>
                <w:rFonts w:ascii="Times New Roman" w:eastAsia="Times New Roman" w:hAnsi="Times New Roman" w:cs="Times New Roman"/>
                <w:sz w:val="20"/>
                <w:szCs w:val="20"/>
              </w:rPr>
              <w:t>pēcdoktorantūras</w:t>
            </w:r>
            <w:proofErr w:type="spellEnd"/>
            <w:r>
              <w:rPr>
                <w:rFonts w:ascii="Times New Roman" w:eastAsia="Times New Roman" w:hAnsi="Times New Roman" w:cs="Times New Roman"/>
                <w:sz w:val="20"/>
                <w:szCs w:val="20"/>
              </w:rPr>
              <w:t xml:space="preserve"> pētniecības vai inovācijas granta projekta īstenošanai piesaistīto privātā līdzfinansējuma apmēru (tiek pārbaudīts pie maksājumu pieprasījuma).</w:t>
            </w:r>
          </w:p>
        </w:tc>
      </w:tr>
    </w:tbl>
    <w:p w14:paraId="3912732C" w14:textId="77777777" w:rsidR="007B61DB" w:rsidRDefault="007B61DB">
      <w:pPr>
        <w:spacing w:after="0" w:line="240" w:lineRule="auto"/>
        <w:jc w:val="both"/>
        <w:rPr>
          <w:rFonts w:ascii="Times New Roman" w:eastAsia="Times New Roman" w:hAnsi="Times New Roman" w:cs="Times New Roman"/>
          <w:sz w:val="20"/>
          <w:szCs w:val="20"/>
        </w:rPr>
      </w:pPr>
    </w:p>
    <w:p w14:paraId="13D922F3" w14:textId="77777777" w:rsidR="007B61DB" w:rsidRDefault="00432B6E">
      <w:r>
        <w:br w:type="page"/>
      </w:r>
    </w:p>
    <w:p w14:paraId="0C1E6E17" w14:textId="77777777" w:rsidR="00485BE4" w:rsidRDefault="00485BE4"/>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EE4E1C" w:rsidRPr="00EE4E1C" w14:paraId="153BAD22" w14:textId="77777777" w:rsidTr="00587309">
        <w:tc>
          <w:tcPr>
            <w:tcW w:w="1995" w:type="dxa"/>
          </w:tcPr>
          <w:p w14:paraId="33E8F97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Nr. (ID)</w:t>
            </w:r>
          </w:p>
        </w:tc>
        <w:tc>
          <w:tcPr>
            <w:tcW w:w="7072" w:type="dxa"/>
          </w:tcPr>
          <w:p w14:paraId="0BB7621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i.1.1.1.a</w:t>
            </w:r>
          </w:p>
        </w:tc>
      </w:tr>
      <w:tr w:rsidR="00EE4E1C" w:rsidRPr="00EE4E1C" w14:paraId="0BD494ED" w14:textId="77777777" w:rsidTr="00587309">
        <w:tc>
          <w:tcPr>
            <w:tcW w:w="1995" w:type="dxa"/>
          </w:tcPr>
          <w:p w14:paraId="2D6DA67A"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nosaukums</w:t>
            </w:r>
          </w:p>
        </w:tc>
        <w:tc>
          <w:tcPr>
            <w:tcW w:w="7072" w:type="dxa"/>
          </w:tcPr>
          <w:p w14:paraId="629867D7"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Iestādes, kas atbalstītas digitālo pakalpojumu, produktu un procesu izstrādei augstākajā izglītībā un pētniecībā</w:t>
            </w:r>
          </w:p>
        </w:tc>
      </w:tr>
      <w:tr w:rsidR="00EE4E1C" w:rsidRPr="00EE4E1C" w14:paraId="05CAFD4A" w14:textId="77777777" w:rsidTr="00587309">
        <w:tc>
          <w:tcPr>
            <w:tcW w:w="1995" w:type="dxa"/>
          </w:tcPr>
          <w:p w14:paraId="7561F83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definīcija</w:t>
            </w:r>
          </w:p>
        </w:tc>
        <w:tc>
          <w:tcPr>
            <w:tcW w:w="7072" w:type="dxa"/>
          </w:tcPr>
          <w:p w14:paraId="4A7BADE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To institūciju skaits, kuras ir saņēmušas atbalstu, lai būtiski izstrādātu vai būtiski uzlabotu digitālos pakalpojumus, produktus un procesus, piemēram, e-pārvaldes pasākumu kontekstā. Būtiski jauninājumi aptver tikai jaunas funkcijas. Rādītājs neaptver pašvaldību uzņēmumus un valsts universitātes vai pētniecības institūtus</w:t>
            </w:r>
            <w:r w:rsidRPr="00EE4E1C">
              <w:rPr>
                <w:rStyle w:val="FootnoteReference"/>
                <w:rFonts w:ascii="Times New Roman" w:eastAsia="Times New Roman" w:hAnsi="Times New Roman" w:cs="Times New Roman"/>
                <w:sz w:val="20"/>
                <w:szCs w:val="20"/>
              </w:rPr>
              <w:footnoteReference w:id="21"/>
            </w:r>
            <w:r w:rsidRPr="00EE4E1C">
              <w:rPr>
                <w:rFonts w:ascii="Times New Roman" w:eastAsia="Times New Roman" w:hAnsi="Times New Roman" w:cs="Times New Roman"/>
                <w:sz w:val="20"/>
                <w:szCs w:val="20"/>
              </w:rPr>
              <w:t>.</w:t>
            </w:r>
          </w:p>
        </w:tc>
      </w:tr>
      <w:tr w:rsidR="00EE4E1C" w:rsidRPr="00EE4E1C" w14:paraId="180E5D83" w14:textId="77777777" w:rsidTr="00587309">
        <w:tc>
          <w:tcPr>
            <w:tcW w:w="1995" w:type="dxa"/>
          </w:tcPr>
          <w:p w14:paraId="5763C437"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veids </w:t>
            </w:r>
          </w:p>
        </w:tc>
        <w:tc>
          <w:tcPr>
            <w:tcW w:w="7072" w:type="dxa"/>
          </w:tcPr>
          <w:p w14:paraId="296B64FF"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Specifiskais iznākuma rādītājs</w:t>
            </w:r>
          </w:p>
        </w:tc>
      </w:tr>
      <w:tr w:rsidR="00EE4E1C" w:rsidRPr="00EE4E1C" w14:paraId="62C95F20" w14:textId="77777777" w:rsidTr="00587309">
        <w:tc>
          <w:tcPr>
            <w:tcW w:w="1995" w:type="dxa"/>
          </w:tcPr>
          <w:p w14:paraId="7A261A04"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mērvienība</w:t>
            </w:r>
          </w:p>
        </w:tc>
        <w:tc>
          <w:tcPr>
            <w:tcW w:w="7072" w:type="dxa"/>
          </w:tcPr>
          <w:p w14:paraId="22C10AD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Iestāžu skaits, kuras saņēmušas finansējumu digitālo pakalpojumu, produktu un procesu izstrādei pētniecībā un augstākajā izglītībā</w:t>
            </w:r>
          </w:p>
        </w:tc>
      </w:tr>
      <w:tr w:rsidR="00EE4E1C" w:rsidRPr="00EE4E1C" w14:paraId="6BB629CB" w14:textId="77777777" w:rsidTr="00587309">
        <w:tc>
          <w:tcPr>
            <w:tcW w:w="1995" w:type="dxa"/>
          </w:tcPr>
          <w:p w14:paraId="62532EF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Bāzes (sākotnējās) vērtības gads un bāzes vērtība</w:t>
            </w:r>
          </w:p>
        </w:tc>
        <w:tc>
          <w:tcPr>
            <w:tcW w:w="7072" w:type="dxa"/>
          </w:tcPr>
          <w:p w14:paraId="2C3E43A7"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2020.gads: 0</w:t>
            </w:r>
          </w:p>
        </w:tc>
      </w:tr>
      <w:tr w:rsidR="00EE4E1C" w:rsidRPr="00EE4E1C" w14:paraId="48B56BE7" w14:textId="77777777" w:rsidTr="00587309">
        <w:tc>
          <w:tcPr>
            <w:tcW w:w="1995" w:type="dxa"/>
          </w:tcPr>
          <w:p w14:paraId="466E3F9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Starpposma vērtība uz 31.12.2024.</w:t>
            </w:r>
          </w:p>
        </w:tc>
        <w:tc>
          <w:tcPr>
            <w:tcW w:w="7072" w:type="dxa"/>
          </w:tcPr>
          <w:p w14:paraId="0E896A08"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1</w:t>
            </w:r>
          </w:p>
        </w:tc>
      </w:tr>
      <w:tr w:rsidR="00EE4E1C" w:rsidRPr="00EE4E1C" w14:paraId="370D8F0C" w14:textId="77777777" w:rsidTr="00587309">
        <w:tc>
          <w:tcPr>
            <w:tcW w:w="1995" w:type="dxa"/>
          </w:tcPr>
          <w:p w14:paraId="72F9633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Sasniedzamā vērtība uz 31.12.2029.</w:t>
            </w:r>
          </w:p>
        </w:tc>
        <w:tc>
          <w:tcPr>
            <w:tcW w:w="7072" w:type="dxa"/>
          </w:tcPr>
          <w:p w14:paraId="645F4CAE"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1</w:t>
            </w:r>
          </w:p>
        </w:tc>
      </w:tr>
      <w:tr w:rsidR="00EE4E1C" w:rsidRPr="00EE4E1C" w14:paraId="2B4A9136" w14:textId="77777777" w:rsidTr="00587309">
        <w:tc>
          <w:tcPr>
            <w:tcW w:w="1995" w:type="dxa"/>
            <w:vMerge w:val="restart"/>
          </w:tcPr>
          <w:p w14:paraId="1E357F0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Pieņēmumi un aprēķini</w:t>
            </w:r>
            <w:r w:rsidRPr="00EE4E1C">
              <w:rPr>
                <w:rFonts w:ascii="Times New Roman" w:eastAsia="Times New Roman" w:hAnsi="Times New Roman" w:cs="Times New Roman"/>
                <w:b/>
                <w:sz w:val="20"/>
                <w:szCs w:val="20"/>
                <w:vertAlign w:val="superscript"/>
              </w:rPr>
              <w:footnoteReference w:id="22"/>
            </w:r>
          </w:p>
          <w:p w14:paraId="0557D85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tc>
        <w:tc>
          <w:tcPr>
            <w:tcW w:w="7072" w:type="dxa"/>
          </w:tcPr>
          <w:p w14:paraId="16132114"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Kritēriji rādītāju izvēlei </w:t>
            </w:r>
          </w:p>
          <w:p w14:paraId="76E8BAD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Ņemot vērā, ka nav iespējams nodrošināt pilnīgu atbilstību EK kopējiem iznākuma rādītājiem, plānojot ieguldījumus, tika definēts tāds specifiskais iznākuma rādītājs, kas visatbilstošāk atspoguļo sagaidāmos risinājumus un rezultātus, ņemot vērā plānotās darbības specifisko atbalsta mērķu ietvaros, kā arī ir līdzīgs regulu priekšlikumos ietvertajam kopējam iznākuma rādītājam. </w:t>
            </w:r>
          </w:p>
          <w:p w14:paraId="59544A8E"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Sasaiste ar plānotajiem ieguldījumiem.</w:t>
            </w:r>
            <w:r w:rsidRPr="00EE4E1C">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11BD0706"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 xml:space="preserve">Būtiskums attiecībā uz plānotajiem ieguldījumiem. </w:t>
            </w:r>
            <w:r w:rsidRPr="00EE4E1C">
              <w:rPr>
                <w:rFonts w:ascii="Times New Roman" w:eastAsia="Times New Roman" w:hAnsi="Times New Roman" w:cs="Times New Roman"/>
                <w:sz w:val="20"/>
                <w:szCs w:val="20"/>
              </w:rPr>
              <w:t>Tai skaitā tika apzināts, vai izvēlētais rādītājs atspoguļo pietiekami būtisku apjomu no SAM ietvaros plānotajām darbībām, gadījumos, kad viena SAM ietvaros plānoto darbību klāsts ir gana plašs.</w:t>
            </w:r>
          </w:p>
          <w:p w14:paraId="1BC33810" w14:textId="77777777" w:rsidR="00EE4E1C" w:rsidRPr="00EE4E1C" w:rsidRDefault="00EE4E1C" w:rsidP="00587309">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Datu pieejamība.</w:t>
            </w:r>
            <w:r w:rsidRPr="00EE4E1C">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E4E1C" w:rsidRPr="00EE4E1C" w14:paraId="3195F54E" w14:textId="77777777" w:rsidTr="00587309">
        <w:tc>
          <w:tcPr>
            <w:tcW w:w="1995" w:type="dxa"/>
            <w:vMerge/>
          </w:tcPr>
          <w:p w14:paraId="66B17E76"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424D576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Informācijas avots</w:t>
            </w:r>
            <w:r w:rsidRPr="00EE4E1C">
              <w:rPr>
                <w:rFonts w:ascii="Times New Roman" w:eastAsia="Times New Roman" w:hAnsi="Times New Roman" w:cs="Times New Roman"/>
                <w:b/>
                <w:sz w:val="20"/>
                <w:szCs w:val="20"/>
                <w:vertAlign w:val="superscript"/>
              </w:rPr>
              <w:footnoteReference w:id="23"/>
            </w:r>
          </w:p>
          <w:p w14:paraId="2C1EB86D"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Projektu dati.</w:t>
            </w:r>
          </w:p>
        </w:tc>
      </w:tr>
      <w:tr w:rsidR="00EE4E1C" w:rsidRPr="00EE4E1C" w14:paraId="51CAC52C" w14:textId="77777777" w:rsidTr="00587309">
        <w:tc>
          <w:tcPr>
            <w:tcW w:w="1995" w:type="dxa"/>
            <w:vMerge/>
          </w:tcPr>
          <w:p w14:paraId="60F084A8"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61DFA4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Veiktie indikatīvie aprēķini un pieņēmumi, kas izmantoti aprēķiniem</w:t>
            </w:r>
          </w:p>
          <w:p w14:paraId="47170FB8"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5AC2D9D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 vērtība ir aprēķināta, ņemot vērā arī elastības finansējumu.</w:t>
            </w:r>
          </w:p>
          <w:p w14:paraId="002BD85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2D171CCE"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Lai nodrošinātu centralizēti organizētu digitālo pakalpojumu, produktu un procesu izstrādes piedāvājumu augstākajā izglītībā un pētniecībā, par</w:t>
            </w:r>
            <w:r w:rsidRPr="00EE4E1C">
              <w:t xml:space="preserve"> </w:t>
            </w:r>
            <w:r w:rsidRPr="00EE4E1C">
              <w:rPr>
                <w:rFonts w:ascii="Times New Roman" w:eastAsia="Times New Roman" w:hAnsi="Times New Roman" w:cs="Times New Roman"/>
                <w:sz w:val="20"/>
                <w:szCs w:val="20"/>
              </w:rPr>
              <w:t xml:space="preserve">digitālo pakalpojumu izstrādātāju un projekta finansējuma saņēmēju tiek paredzēts noteikt </w:t>
            </w:r>
            <w:r w:rsidRPr="00EE4E1C">
              <w:rPr>
                <w:rFonts w:ascii="Times New Roman" w:eastAsia="Times New Roman" w:hAnsi="Times New Roman" w:cs="Times New Roman"/>
                <w:b/>
                <w:sz w:val="20"/>
                <w:szCs w:val="20"/>
              </w:rPr>
              <w:t>vienu iestādi</w:t>
            </w:r>
            <w:r w:rsidRPr="00EE4E1C">
              <w:rPr>
                <w:rFonts w:ascii="Times New Roman" w:eastAsia="Times New Roman" w:hAnsi="Times New Roman" w:cs="Times New Roman"/>
                <w:sz w:val="20"/>
                <w:szCs w:val="20"/>
              </w:rPr>
              <w:t xml:space="preserve"> – biedrību, ko veido publiskas atvasinātas personas, kuras mērķis ir veicināt Latvijas Republikas augstākās izglītības un zinātnes institūciju attīstību un starptautisko konkurētspēju, integrējot, attīstot un nodrošinot augstas kvalitātes koplietojamus informācijas tehnoloģijas pakalpojumus. Organizācija attīstīs un uzturēs informācijas un komunikācijas tehnoloģiju infrastruktūras, sadarbosies ar nozari inovatīvu risinājumu izstrādē, līdzdarbosies Eiropas Atvērtās zinātnes mākonī un strādās pie starptautiskā finansējuma piesaistes, lai nodrošinātu Latvijas pētniekus un studējošos ar kvalitatīviem, uz lietotājiem orientētiem digitālajiem pakalpojumiem.</w:t>
            </w:r>
          </w:p>
          <w:p w14:paraId="6AB8E23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p>
        </w:tc>
      </w:tr>
      <w:tr w:rsidR="00EE4E1C" w:rsidRPr="00EE4E1C" w14:paraId="70827BF8" w14:textId="77777777" w:rsidTr="00587309">
        <w:tc>
          <w:tcPr>
            <w:tcW w:w="1995" w:type="dxa"/>
            <w:vMerge/>
          </w:tcPr>
          <w:p w14:paraId="6AFB127B"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D00EF4C"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Intervences loģika</w:t>
            </w:r>
          </w:p>
          <w:p w14:paraId="67E8FEC3"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lastRenderedPageBreak/>
              <w:t xml:space="preserve">Rādītājs tiek piemērots attiecībā uz plānotajiem 1.1.1.SAM ieguldījumiem pasākuma "Zinātniskās darbības digitalizācija un dalība Eiropas Atvērtajā zinātnes mākonī" īstenošanai. </w:t>
            </w:r>
          </w:p>
        </w:tc>
      </w:tr>
      <w:tr w:rsidR="00EE4E1C" w:rsidRPr="00EE4E1C" w14:paraId="44CF715B" w14:textId="77777777" w:rsidTr="00587309">
        <w:tc>
          <w:tcPr>
            <w:tcW w:w="1995" w:type="dxa"/>
            <w:vMerge/>
          </w:tcPr>
          <w:p w14:paraId="58DABFF8"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5B03761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Iespējamie riski</w:t>
            </w:r>
          </w:p>
          <w:p w14:paraId="2ED55660"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Ņemot vērā pieņēmumus, pastāv zems rādītāja neizpildes risks.</w:t>
            </w:r>
          </w:p>
          <w:p w14:paraId="495F5F71"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Nepietiekams starptautiskā finansējuma piesaiste digitālo pakalpojumu nodrošināšanai. </w:t>
            </w:r>
          </w:p>
          <w:p w14:paraId="6ADD3F3A" w14:textId="77777777" w:rsidR="00EE4E1C" w:rsidRPr="00EE4E1C" w:rsidRDefault="00EE4E1C" w:rsidP="00587309">
            <w:pPr>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Nepietiekama sadarbība ar nozari inovatīvu risinājumu izstrādē. </w:t>
            </w:r>
          </w:p>
        </w:tc>
      </w:tr>
      <w:tr w:rsidR="00EE4E1C" w:rsidRPr="00EE4E1C" w14:paraId="45203C5E" w14:textId="77777777" w:rsidTr="00587309">
        <w:tc>
          <w:tcPr>
            <w:tcW w:w="1995" w:type="dxa"/>
          </w:tcPr>
          <w:p w14:paraId="653C8F71"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sasniegšana </w:t>
            </w:r>
          </w:p>
        </w:tc>
        <w:tc>
          <w:tcPr>
            <w:tcW w:w="7072" w:type="dxa"/>
            <w:shd w:val="clear" w:color="auto" w:fill="auto"/>
          </w:tcPr>
          <w:p w14:paraId="5F57C4A8" w14:textId="77777777" w:rsidR="00EE4E1C" w:rsidRPr="00EE4E1C" w:rsidRDefault="00EE4E1C" w:rsidP="000C4733">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Rādītājs tie uzskatīts par izpildītu, kad noslēgts sadarbības līgums ar finansējuma saņēmēju par projekta īstenošanu.</w:t>
            </w:r>
          </w:p>
        </w:tc>
      </w:tr>
    </w:tbl>
    <w:p w14:paraId="60F633AA" w14:textId="77777777" w:rsidR="00485BE4" w:rsidRDefault="00485BE4" w:rsidP="000C4733">
      <w:pPr>
        <w:spacing w:after="0" w:line="240" w:lineRule="auto"/>
      </w:pPr>
    </w:p>
    <w:p w14:paraId="5BF7C6BE" w14:textId="77777777" w:rsidR="00485BE4" w:rsidRPr="00EE4E1C" w:rsidRDefault="00485BE4" w:rsidP="000C4733">
      <w:pPr>
        <w:spacing w:after="0" w:line="240" w:lineRule="auto"/>
        <w:rPr>
          <w:rFonts w:ascii="Times New Roman" w:eastAsia="Times New Roman" w:hAnsi="Times New Roman" w:cs="Times New Roman"/>
          <w:sz w:val="20"/>
          <w:szCs w:val="20"/>
        </w:rPr>
      </w:pPr>
    </w:p>
    <w:tbl>
      <w:tblPr>
        <w:tblStyle w:val="af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7072"/>
      </w:tblGrid>
      <w:tr w:rsidR="00EE4E1C" w:rsidRPr="00EE4E1C" w14:paraId="6DCCA1DF" w14:textId="77777777" w:rsidTr="00587309">
        <w:tc>
          <w:tcPr>
            <w:tcW w:w="1995" w:type="dxa"/>
          </w:tcPr>
          <w:p w14:paraId="1E0143B8"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Nr. (ID)</w:t>
            </w:r>
          </w:p>
        </w:tc>
        <w:tc>
          <w:tcPr>
            <w:tcW w:w="7072" w:type="dxa"/>
          </w:tcPr>
          <w:p w14:paraId="318F9ED2" w14:textId="77777777" w:rsidR="00EE4E1C" w:rsidRPr="00EE4E1C" w:rsidRDefault="00EE4E1C" w:rsidP="000C4733">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r.1.1.1.a</w:t>
            </w:r>
          </w:p>
        </w:tc>
      </w:tr>
      <w:tr w:rsidR="00EE4E1C" w:rsidRPr="00EE4E1C" w14:paraId="66B36FE4" w14:textId="77777777" w:rsidTr="00587309">
        <w:tc>
          <w:tcPr>
            <w:tcW w:w="1995" w:type="dxa"/>
          </w:tcPr>
          <w:p w14:paraId="5E6AE212"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nosaukums</w:t>
            </w:r>
          </w:p>
        </w:tc>
        <w:tc>
          <w:tcPr>
            <w:tcW w:w="7072" w:type="dxa"/>
          </w:tcPr>
          <w:p w14:paraId="456FA25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Jaunu un  modernizētu publisko digitālo pakalpojumu, produktu un procesu lietotāji</w:t>
            </w:r>
          </w:p>
        </w:tc>
      </w:tr>
      <w:tr w:rsidR="00EE4E1C" w:rsidRPr="00EE4E1C" w14:paraId="70ED8F60" w14:textId="77777777" w:rsidTr="00587309">
        <w:tc>
          <w:tcPr>
            <w:tcW w:w="1995" w:type="dxa"/>
          </w:tcPr>
          <w:p w14:paraId="0CD875F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definīcija</w:t>
            </w:r>
          </w:p>
        </w:tc>
        <w:tc>
          <w:tcPr>
            <w:tcW w:w="7072" w:type="dxa"/>
          </w:tcPr>
          <w:p w14:paraId="6731588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Jaunizstrādāto vai būtiski modernizēto digitālo sabiedrisko pakalpojumu, produktu un procesu lietotāju skaits gadā. Būtiski jauninājumi aptver tikai jaunas funkcijas.</w:t>
            </w:r>
          </w:p>
          <w:p w14:paraId="6B1EBCF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Rādītājam ir bāzes līnija 0 tikai tad, ja digitālais pakalpojums, produkts vai process ir jauns.</w:t>
            </w:r>
          </w:p>
          <w:p w14:paraId="15441BDC"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Lietotāji ir jaunizveidoto vai modernizēto sabiedrisko pakalpojumu un produktu klienti – zinātnes universitātes un valsts zinātniskās institūcijas, kuras izmanto jaunizveidotos vai būtiski pilnveidotos digitālos procesus</w:t>
            </w:r>
            <w:r w:rsidRPr="00EE4E1C">
              <w:rPr>
                <w:rStyle w:val="FootnoteReference"/>
                <w:rFonts w:ascii="Times New Roman" w:eastAsia="Times New Roman" w:hAnsi="Times New Roman" w:cs="Times New Roman"/>
                <w:sz w:val="20"/>
                <w:szCs w:val="20"/>
              </w:rPr>
              <w:footnoteReference w:id="24"/>
            </w:r>
            <w:r w:rsidRPr="00EE4E1C">
              <w:rPr>
                <w:rFonts w:ascii="Times New Roman" w:eastAsia="Times New Roman" w:hAnsi="Times New Roman" w:cs="Times New Roman"/>
                <w:sz w:val="20"/>
                <w:szCs w:val="20"/>
              </w:rPr>
              <w:t xml:space="preserve">.  </w:t>
            </w:r>
          </w:p>
        </w:tc>
      </w:tr>
      <w:tr w:rsidR="00EE4E1C" w:rsidRPr="00EE4E1C" w14:paraId="57FFC81B" w14:textId="77777777" w:rsidTr="00587309">
        <w:tc>
          <w:tcPr>
            <w:tcW w:w="1995" w:type="dxa"/>
          </w:tcPr>
          <w:p w14:paraId="64A2488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veids </w:t>
            </w:r>
          </w:p>
        </w:tc>
        <w:tc>
          <w:tcPr>
            <w:tcW w:w="7072" w:type="dxa"/>
          </w:tcPr>
          <w:p w14:paraId="40C4C67F"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Specifiskais rezultāta rādītājs</w:t>
            </w:r>
          </w:p>
        </w:tc>
      </w:tr>
      <w:tr w:rsidR="00EE4E1C" w:rsidRPr="00EE4E1C" w14:paraId="3168B632" w14:textId="77777777" w:rsidTr="00587309">
        <w:tc>
          <w:tcPr>
            <w:tcW w:w="1995" w:type="dxa"/>
          </w:tcPr>
          <w:p w14:paraId="0AACA913"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Rādītāja mērvienība</w:t>
            </w:r>
          </w:p>
        </w:tc>
        <w:tc>
          <w:tcPr>
            <w:tcW w:w="7072" w:type="dxa"/>
          </w:tcPr>
          <w:p w14:paraId="1CDEFBA5"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Iestāžu skaits</w:t>
            </w:r>
          </w:p>
        </w:tc>
      </w:tr>
      <w:tr w:rsidR="00EE4E1C" w:rsidRPr="00EE4E1C" w14:paraId="6628A771" w14:textId="77777777" w:rsidTr="00587309">
        <w:tc>
          <w:tcPr>
            <w:tcW w:w="1995" w:type="dxa"/>
          </w:tcPr>
          <w:p w14:paraId="19225A0F"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Bāzes (sākotnējās) vērtības gads un bāzes vērtība</w:t>
            </w:r>
          </w:p>
        </w:tc>
        <w:tc>
          <w:tcPr>
            <w:tcW w:w="7072" w:type="dxa"/>
          </w:tcPr>
          <w:p w14:paraId="55E5A646"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2020.gads: 0</w:t>
            </w:r>
          </w:p>
        </w:tc>
      </w:tr>
      <w:tr w:rsidR="00EE4E1C" w:rsidRPr="00EE4E1C" w14:paraId="699A73D3" w14:textId="77777777" w:rsidTr="00587309">
        <w:tc>
          <w:tcPr>
            <w:tcW w:w="1995" w:type="dxa"/>
          </w:tcPr>
          <w:p w14:paraId="40AC75FD"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Starpposma vērtība uz 31.12.2024.</w:t>
            </w:r>
          </w:p>
        </w:tc>
        <w:tc>
          <w:tcPr>
            <w:tcW w:w="7072" w:type="dxa"/>
          </w:tcPr>
          <w:p w14:paraId="33373FE1"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N/A</w:t>
            </w:r>
          </w:p>
        </w:tc>
      </w:tr>
      <w:tr w:rsidR="00EE4E1C" w:rsidRPr="00EE4E1C" w14:paraId="76460076" w14:textId="77777777" w:rsidTr="00587309">
        <w:tc>
          <w:tcPr>
            <w:tcW w:w="1995" w:type="dxa"/>
          </w:tcPr>
          <w:p w14:paraId="655A64B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Sasniedzamā vērtība uz 31.12.2029.</w:t>
            </w:r>
          </w:p>
        </w:tc>
        <w:tc>
          <w:tcPr>
            <w:tcW w:w="7072" w:type="dxa"/>
          </w:tcPr>
          <w:p w14:paraId="57D7362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22</w:t>
            </w:r>
          </w:p>
        </w:tc>
      </w:tr>
      <w:tr w:rsidR="00EE4E1C" w:rsidRPr="00EE4E1C" w14:paraId="3BE6BEB4" w14:textId="77777777" w:rsidTr="00587309">
        <w:tc>
          <w:tcPr>
            <w:tcW w:w="1995" w:type="dxa"/>
            <w:vMerge w:val="restart"/>
          </w:tcPr>
          <w:p w14:paraId="768C9DD5"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Pieņēmumi un aprēķini</w:t>
            </w:r>
            <w:r w:rsidRPr="00EE4E1C">
              <w:rPr>
                <w:rFonts w:ascii="Times New Roman" w:eastAsia="Times New Roman" w:hAnsi="Times New Roman" w:cs="Times New Roman"/>
                <w:b/>
                <w:sz w:val="20"/>
                <w:szCs w:val="20"/>
                <w:vertAlign w:val="superscript"/>
              </w:rPr>
              <w:footnoteReference w:id="25"/>
            </w:r>
          </w:p>
          <w:p w14:paraId="0B8FF50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tc>
        <w:tc>
          <w:tcPr>
            <w:tcW w:w="7072" w:type="dxa"/>
          </w:tcPr>
          <w:p w14:paraId="2CB8091A"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Kritēriji rādītāju izvēlei </w:t>
            </w:r>
          </w:p>
          <w:p w14:paraId="2B41F214"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Ņemot vērā, ka nav iespējams nodrošināt pilnīgu atbilstību EK kopējiem rezultāta rādītājiem, plānojot ieguldījumus, tika definēts tāds specifiskais rezultāta rādītājs, kas visatbilstošāk atspoguļo sagaidāmos risinājumus un rezultātus, ņemot vērā plānotās darbības specifisko atbalsta mērķu ietvaros, kā arī ir līdzīgs regulu priekšlikumos ietvertajam kopējam rezultāta rādītājam.  </w:t>
            </w:r>
          </w:p>
          <w:p w14:paraId="1BF0B59F"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Sasaiste ar plānotajiem ieguldījumiem.</w:t>
            </w:r>
            <w:r w:rsidRPr="00EE4E1C">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C744BC1"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 xml:space="preserve">Būtiskums attiecībā uz plānotajiem ieguldījumiem. </w:t>
            </w:r>
            <w:r w:rsidRPr="00EE4E1C">
              <w:rPr>
                <w:rFonts w:ascii="Times New Roman" w:eastAsia="Times New Roman" w:hAnsi="Times New Roman" w:cs="Times New Roman"/>
                <w:sz w:val="20"/>
                <w:szCs w:val="20"/>
              </w:rPr>
              <w:t>Tai skaitā tika apzināts, vai izvēlētais rādītājs atspoguļo pietiekami būtisku apjomu no SAM ietvaros plānotajām darbībām, gadījumos, kad viena SAM ietvaros plānoto darbību klāsts ir gana plašs.</w:t>
            </w:r>
          </w:p>
          <w:p w14:paraId="148B37C2" w14:textId="77777777" w:rsidR="00EE4E1C" w:rsidRPr="00EE4E1C" w:rsidRDefault="00EE4E1C" w:rsidP="00587309">
            <w:pPr>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b/>
                <w:sz w:val="20"/>
                <w:szCs w:val="20"/>
              </w:rPr>
              <w:t>Datu pieejamība.</w:t>
            </w:r>
            <w:r w:rsidRPr="00EE4E1C">
              <w:rPr>
                <w:rFonts w:ascii="Times New Roman" w:eastAsia="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EE4E1C" w:rsidRPr="00EE4E1C" w14:paraId="1100C4D6" w14:textId="77777777" w:rsidTr="00587309">
        <w:tc>
          <w:tcPr>
            <w:tcW w:w="1995" w:type="dxa"/>
            <w:vMerge/>
          </w:tcPr>
          <w:p w14:paraId="1E2EE632"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0841C7BC"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Informācijas avots</w:t>
            </w:r>
            <w:r w:rsidRPr="00EE4E1C">
              <w:rPr>
                <w:rFonts w:ascii="Times New Roman" w:eastAsia="Times New Roman" w:hAnsi="Times New Roman" w:cs="Times New Roman"/>
                <w:b/>
                <w:sz w:val="20"/>
                <w:szCs w:val="20"/>
                <w:vertAlign w:val="superscript"/>
              </w:rPr>
              <w:footnoteReference w:id="26"/>
            </w:r>
          </w:p>
          <w:p w14:paraId="5E983A48"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Projektu dati.</w:t>
            </w:r>
          </w:p>
        </w:tc>
      </w:tr>
      <w:tr w:rsidR="00EE4E1C" w:rsidRPr="00EE4E1C" w14:paraId="378D1DC4" w14:textId="77777777" w:rsidTr="00587309">
        <w:tc>
          <w:tcPr>
            <w:tcW w:w="1995" w:type="dxa"/>
            <w:vMerge/>
          </w:tcPr>
          <w:p w14:paraId="658BEFB3"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44779B71"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Veiktie indikatīvie aprēķini un pieņēmumi, kas izmantoti aprēķiniem</w:t>
            </w:r>
          </w:p>
          <w:p w14:paraId="3B9309BB"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p>
          <w:p w14:paraId="12E90FF2"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Rādītāja vērtība ir aprēķināta, ņemot vērā arī elastības finansējumu.</w:t>
            </w:r>
          </w:p>
          <w:p w14:paraId="1215758F"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Pieņēmumi, kas izmantoti:</w:t>
            </w:r>
          </w:p>
          <w:p w14:paraId="5C4B9CBB"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lastRenderedPageBreak/>
              <w:t xml:space="preserve">Rādītāja noteikšanai tika izmantotas visas valsts zinātniskās institūcijas, kuras piedalījās starptautiskajā zinātniskās darbības </w:t>
            </w:r>
            <w:proofErr w:type="spellStart"/>
            <w:r w:rsidRPr="00EE4E1C">
              <w:rPr>
                <w:rFonts w:ascii="Times New Roman" w:eastAsia="Times New Roman" w:hAnsi="Times New Roman" w:cs="Times New Roman"/>
                <w:sz w:val="20"/>
                <w:szCs w:val="20"/>
              </w:rPr>
              <w:t>izvērtējumā</w:t>
            </w:r>
            <w:proofErr w:type="spellEnd"/>
            <w:r w:rsidRPr="00EE4E1C">
              <w:rPr>
                <w:rStyle w:val="FootnoteReference"/>
                <w:rFonts w:ascii="Times New Roman" w:eastAsia="Times New Roman" w:hAnsi="Times New Roman" w:cs="Times New Roman"/>
                <w:sz w:val="20"/>
                <w:szCs w:val="20"/>
              </w:rPr>
              <w:footnoteReference w:id="27"/>
            </w:r>
            <w:r w:rsidRPr="00EE4E1C">
              <w:rPr>
                <w:rFonts w:ascii="Times New Roman" w:eastAsia="Times New Roman" w:hAnsi="Times New Roman" w:cs="Times New Roman"/>
                <w:sz w:val="20"/>
                <w:szCs w:val="20"/>
              </w:rPr>
              <w:t xml:space="preserve">. Šāda pieeja ļauj nodrošināt to, ka jaunu un  modernizētu publisko digitālo pakalpojumu, produktu un procesu lietotāji būs tikai zinātniski aktīvās institūcijas. </w:t>
            </w:r>
          </w:p>
          <w:p w14:paraId="5BC88B19"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2019. gada </w:t>
            </w:r>
            <w:proofErr w:type="spellStart"/>
            <w:r w:rsidRPr="00EE4E1C">
              <w:rPr>
                <w:rFonts w:ascii="Times New Roman" w:eastAsia="Times New Roman" w:hAnsi="Times New Roman" w:cs="Times New Roman"/>
                <w:sz w:val="20"/>
                <w:szCs w:val="20"/>
              </w:rPr>
              <w:t>izvērtējumā</w:t>
            </w:r>
            <w:proofErr w:type="spellEnd"/>
            <w:r w:rsidRPr="00EE4E1C">
              <w:rPr>
                <w:rFonts w:ascii="Times New Roman" w:eastAsia="Times New Roman" w:hAnsi="Times New Roman" w:cs="Times New Roman"/>
                <w:sz w:val="20"/>
                <w:szCs w:val="20"/>
              </w:rPr>
              <w:t xml:space="preserve"> no 62 Latvijā reģistrētajām zinātniskajām institūcijām piedalījās 38, no kurām 22 ir valsts budžeta finansētās zinātniskās institūcijas. </w:t>
            </w:r>
          </w:p>
        </w:tc>
      </w:tr>
      <w:tr w:rsidR="00EE4E1C" w:rsidRPr="00EE4E1C" w14:paraId="57A66926" w14:textId="77777777" w:rsidTr="00587309">
        <w:tc>
          <w:tcPr>
            <w:tcW w:w="1995" w:type="dxa"/>
            <w:vMerge/>
          </w:tcPr>
          <w:p w14:paraId="3BBBC052"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2CCDD4A5"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Intervences loģika</w:t>
            </w:r>
          </w:p>
          <w:p w14:paraId="6F638306" w14:textId="77777777" w:rsidR="00EE4E1C" w:rsidRPr="00EE4E1C" w:rsidRDefault="00EE4E1C" w:rsidP="00587309">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Rādītājs tiek piemērots attiecībā uz plānotajiem 1.1.1.SAM ieguldījumiem pasākuma "Zinātniskās darbības digitalizācija un  dalība Eiropas Atvērtajā zinātnes mākonī" īstenošanai.</w:t>
            </w:r>
          </w:p>
        </w:tc>
      </w:tr>
      <w:tr w:rsidR="00EE4E1C" w:rsidRPr="00EE4E1C" w14:paraId="35629706" w14:textId="77777777" w:rsidTr="00587309">
        <w:tc>
          <w:tcPr>
            <w:tcW w:w="1995" w:type="dxa"/>
            <w:vMerge/>
          </w:tcPr>
          <w:p w14:paraId="261CCD45" w14:textId="77777777" w:rsidR="00EE4E1C" w:rsidRPr="00EE4E1C" w:rsidRDefault="00EE4E1C" w:rsidP="00587309">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072" w:type="dxa"/>
            <w:shd w:val="clear" w:color="auto" w:fill="auto"/>
          </w:tcPr>
          <w:p w14:paraId="39FB8A36"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Iespējamie riski</w:t>
            </w:r>
          </w:p>
          <w:p w14:paraId="01F211A9"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Nepietiekama zinātnisko institūciju interese izmantot jaunu un  modernizētu publisko digitālo pakalpojumu, produktu un procesu lietošanu.</w:t>
            </w:r>
          </w:p>
          <w:p w14:paraId="3E9C4448"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Izstrādāto publisko digitālo pakalpojumu, produktu un procesu lietošanas savienojamība ar zinātnisko institūciju lietotajiem digitāliem pakalpojumiem un produktiem.</w:t>
            </w:r>
          </w:p>
          <w:p w14:paraId="0BF4475E" w14:textId="77777777" w:rsidR="00EE4E1C" w:rsidRPr="00EE4E1C" w:rsidRDefault="00EE4E1C" w:rsidP="00587309">
            <w:pPr>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Izstrādāto jaunu un modernizētu publisko digitālo pakalpojumu, produktu un procesu lietošanas izmaksas salīdzinot ar līdzīgiem digitāliem pakalpojumiem, produktiem brīvā tirgū,</w:t>
            </w:r>
          </w:p>
        </w:tc>
      </w:tr>
      <w:tr w:rsidR="00EE4E1C" w:rsidRPr="00EE4E1C" w14:paraId="4EA12937" w14:textId="77777777" w:rsidTr="00587309">
        <w:tc>
          <w:tcPr>
            <w:tcW w:w="1995" w:type="dxa"/>
          </w:tcPr>
          <w:p w14:paraId="22488BA9" w14:textId="77777777" w:rsidR="00EE4E1C" w:rsidRPr="00EE4E1C" w:rsidRDefault="00EE4E1C" w:rsidP="00587309">
            <w:pPr>
              <w:spacing w:after="0" w:line="240" w:lineRule="auto"/>
              <w:jc w:val="both"/>
              <w:rPr>
                <w:rFonts w:ascii="Times New Roman" w:eastAsia="Times New Roman" w:hAnsi="Times New Roman" w:cs="Times New Roman"/>
                <w:b/>
                <w:sz w:val="20"/>
                <w:szCs w:val="20"/>
              </w:rPr>
            </w:pPr>
            <w:r w:rsidRPr="00EE4E1C">
              <w:rPr>
                <w:rFonts w:ascii="Times New Roman" w:eastAsia="Times New Roman" w:hAnsi="Times New Roman" w:cs="Times New Roman"/>
                <w:b/>
                <w:sz w:val="20"/>
                <w:szCs w:val="20"/>
              </w:rPr>
              <w:t xml:space="preserve">Rādītāja sasniegšana </w:t>
            </w:r>
          </w:p>
        </w:tc>
        <w:tc>
          <w:tcPr>
            <w:tcW w:w="7072" w:type="dxa"/>
            <w:shd w:val="clear" w:color="auto" w:fill="auto"/>
          </w:tcPr>
          <w:p w14:paraId="54229B00" w14:textId="77777777" w:rsidR="00EE4E1C" w:rsidRPr="00EE4E1C" w:rsidRDefault="00EE4E1C" w:rsidP="00587309">
            <w:pPr>
              <w:spacing w:after="0" w:line="240" w:lineRule="auto"/>
              <w:jc w:val="both"/>
              <w:rPr>
                <w:rFonts w:ascii="Times New Roman" w:eastAsia="Times New Roman" w:hAnsi="Times New Roman" w:cs="Times New Roman"/>
                <w:sz w:val="20"/>
                <w:szCs w:val="20"/>
              </w:rPr>
            </w:pPr>
            <w:r w:rsidRPr="00EE4E1C">
              <w:rPr>
                <w:rFonts w:ascii="Times New Roman" w:eastAsia="Times New Roman" w:hAnsi="Times New Roman" w:cs="Times New Roman"/>
                <w:sz w:val="20"/>
                <w:szCs w:val="20"/>
              </w:rPr>
              <w:t xml:space="preserve">Rādītājs ir jāsasniedz ne vēlāk gada laikā pēc projekta pabeigšanas atbilstoši informācijai, kas norādīta projektu </w:t>
            </w:r>
            <w:proofErr w:type="spellStart"/>
            <w:r w:rsidRPr="00EE4E1C">
              <w:rPr>
                <w:rFonts w:ascii="Times New Roman" w:eastAsia="Times New Roman" w:hAnsi="Times New Roman" w:cs="Times New Roman"/>
                <w:sz w:val="20"/>
                <w:szCs w:val="20"/>
              </w:rPr>
              <w:t>pēcuzraudzības</w:t>
            </w:r>
            <w:proofErr w:type="spellEnd"/>
            <w:r w:rsidRPr="00EE4E1C">
              <w:rPr>
                <w:rFonts w:ascii="Times New Roman" w:eastAsia="Times New Roman" w:hAnsi="Times New Roman" w:cs="Times New Roman"/>
                <w:sz w:val="20"/>
                <w:szCs w:val="20"/>
              </w:rPr>
              <w:t xml:space="preserve"> pārskatos par sasniegtajiem rādītājiem, piemēram, starp jaunu un modernizētu publisko digitālo pakalpojumu, produktu un procesu nodrošinātāju un iestādi/zinātnisko institūciju tiek noslēgts līgums par minēto pakalpojumu, produktu vai procesu izmantošanu.</w:t>
            </w:r>
          </w:p>
        </w:tc>
      </w:tr>
    </w:tbl>
    <w:p w14:paraId="4B904D73" w14:textId="77777777" w:rsidR="007B61DB" w:rsidRPr="00EE4E1C" w:rsidRDefault="007B61DB">
      <w:pPr>
        <w:spacing w:after="0" w:line="240" w:lineRule="auto"/>
        <w:jc w:val="both"/>
        <w:rPr>
          <w:rFonts w:ascii="Times New Roman" w:eastAsia="Times New Roman" w:hAnsi="Times New Roman" w:cs="Times New Roman"/>
          <w:sz w:val="20"/>
          <w:szCs w:val="20"/>
        </w:rPr>
      </w:pPr>
    </w:p>
    <w:p w14:paraId="79F81A3A" w14:textId="77777777" w:rsidR="0038772B" w:rsidRPr="00EE4E1C" w:rsidRDefault="0038772B">
      <w:pPr>
        <w:spacing w:after="0" w:line="240" w:lineRule="auto"/>
        <w:jc w:val="both"/>
        <w:rPr>
          <w:rFonts w:ascii="Times New Roman" w:eastAsia="Times New Roman" w:hAnsi="Times New Roman" w:cs="Times New Roman"/>
          <w:sz w:val="20"/>
          <w:szCs w:val="20"/>
        </w:rPr>
      </w:pPr>
    </w:p>
    <w:p w14:paraId="3E132106" w14:textId="77777777" w:rsidR="0038772B" w:rsidRPr="00EE4E1C" w:rsidRDefault="0038772B">
      <w:pPr>
        <w:spacing w:after="0" w:line="240" w:lineRule="auto"/>
        <w:jc w:val="both"/>
        <w:rPr>
          <w:rFonts w:ascii="Times New Roman" w:eastAsia="Times New Roman" w:hAnsi="Times New Roman" w:cs="Times New Roman"/>
          <w:sz w:val="20"/>
          <w:szCs w:val="20"/>
        </w:rPr>
      </w:pPr>
    </w:p>
    <w:p w14:paraId="00BE3548" w14:textId="77777777" w:rsidR="0038772B" w:rsidRDefault="0038772B">
      <w:pPr>
        <w:spacing w:after="0" w:line="240" w:lineRule="auto"/>
        <w:jc w:val="both"/>
        <w:rPr>
          <w:rFonts w:ascii="Times New Roman" w:eastAsia="Times New Roman" w:hAnsi="Times New Roman" w:cs="Times New Roman"/>
          <w:sz w:val="20"/>
          <w:szCs w:val="20"/>
        </w:rPr>
        <w:sectPr w:rsidR="0038772B">
          <w:footerReference w:type="default" r:id="rId10"/>
          <w:pgSz w:w="11906" w:h="16838"/>
          <w:pgMar w:top="851" w:right="851" w:bottom="851" w:left="1134" w:header="510" w:footer="510" w:gutter="0"/>
          <w:pgNumType w:start="1"/>
          <w:cols w:space="720"/>
        </w:sectPr>
      </w:pPr>
    </w:p>
    <w:p w14:paraId="1C0EBB0A" w14:textId="77777777" w:rsidR="007B61DB" w:rsidRDefault="00432B6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Informācija par 1.1.1.SAM pasākumu ietvaros plānotajiem intervences kodiem</w:t>
      </w:r>
    </w:p>
    <w:p w14:paraId="7C2A24BB" w14:textId="77777777" w:rsidR="007B61DB" w:rsidRDefault="007B61DB">
      <w:pPr>
        <w:spacing w:after="0" w:line="240" w:lineRule="auto"/>
        <w:jc w:val="both"/>
        <w:rPr>
          <w:rFonts w:ascii="Times New Roman" w:eastAsia="Times New Roman" w:hAnsi="Times New Roman" w:cs="Times New Roman"/>
          <w:sz w:val="20"/>
          <w:szCs w:val="20"/>
        </w:rPr>
      </w:pPr>
    </w:p>
    <w:tbl>
      <w:tblPr>
        <w:tblW w:w="15162" w:type="dxa"/>
        <w:tblLook w:val="04A0" w:firstRow="1" w:lastRow="0" w:firstColumn="1" w:lastColumn="0" w:noHBand="0" w:noVBand="1"/>
      </w:tblPr>
      <w:tblGrid>
        <w:gridCol w:w="928"/>
        <w:gridCol w:w="1619"/>
        <w:gridCol w:w="688"/>
        <w:gridCol w:w="634"/>
        <w:gridCol w:w="1043"/>
        <w:gridCol w:w="1007"/>
        <w:gridCol w:w="1043"/>
        <w:gridCol w:w="1007"/>
        <w:gridCol w:w="1043"/>
        <w:gridCol w:w="1007"/>
        <w:gridCol w:w="1043"/>
        <w:gridCol w:w="1007"/>
        <w:gridCol w:w="1043"/>
        <w:gridCol w:w="1007"/>
        <w:gridCol w:w="1043"/>
      </w:tblGrid>
      <w:tr w:rsidR="007D74AC" w:rsidRPr="007D74AC" w14:paraId="1F5919DA" w14:textId="77777777" w:rsidTr="007D74AC">
        <w:trPr>
          <w:trHeight w:val="364"/>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0A498825"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Pasākuma</w:t>
            </w:r>
            <w:proofErr w:type="spellEnd"/>
            <w:r w:rsidRPr="007D74AC">
              <w:rPr>
                <w:rFonts w:ascii="Times New Roman" w:eastAsia="Times New Roman" w:hAnsi="Times New Roman" w:cs="Times New Roman"/>
                <w:b/>
                <w:bCs/>
                <w:color w:val="000000"/>
                <w:sz w:val="16"/>
                <w:szCs w:val="16"/>
                <w:lang w:val="en-GB" w:eastAsia="en-GB" w:bidi="ne-NP"/>
              </w:rPr>
              <w:t xml:space="preserve"> Nr.</w:t>
            </w:r>
          </w:p>
        </w:tc>
        <w:tc>
          <w:tcPr>
            <w:tcW w:w="1619" w:type="dxa"/>
            <w:tcBorders>
              <w:top w:val="single" w:sz="4" w:space="0" w:color="auto"/>
              <w:left w:val="nil"/>
              <w:bottom w:val="single" w:sz="4" w:space="0" w:color="auto"/>
              <w:right w:val="single" w:sz="4" w:space="0" w:color="auto"/>
            </w:tcBorders>
            <w:shd w:val="clear" w:color="000000" w:fill="D9D9D9"/>
            <w:hideMark/>
          </w:tcPr>
          <w:p w14:paraId="41F8B3E1"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Pasākuma</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nosaukums</w:t>
            </w:r>
            <w:proofErr w:type="spellEnd"/>
          </w:p>
        </w:tc>
        <w:tc>
          <w:tcPr>
            <w:tcW w:w="688" w:type="dxa"/>
            <w:tcBorders>
              <w:top w:val="single" w:sz="4" w:space="0" w:color="auto"/>
              <w:left w:val="nil"/>
              <w:bottom w:val="single" w:sz="4" w:space="0" w:color="auto"/>
              <w:right w:val="single" w:sz="4" w:space="0" w:color="auto"/>
            </w:tcBorders>
            <w:shd w:val="clear" w:color="000000" w:fill="D9D9D9"/>
            <w:hideMark/>
          </w:tcPr>
          <w:p w14:paraId="7D19A0AB"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Kārtas</w:t>
            </w:r>
            <w:proofErr w:type="spellEnd"/>
            <w:r w:rsidRPr="007D74AC">
              <w:rPr>
                <w:rFonts w:ascii="Times New Roman" w:eastAsia="Times New Roman" w:hAnsi="Times New Roman" w:cs="Times New Roman"/>
                <w:b/>
                <w:bCs/>
                <w:color w:val="000000"/>
                <w:sz w:val="16"/>
                <w:szCs w:val="16"/>
                <w:lang w:val="en-GB" w:eastAsia="en-GB" w:bidi="ne-NP"/>
              </w:rPr>
              <w:t xml:space="preserve"> Nr.</w:t>
            </w:r>
          </w:p>
        </w:tc>
        <w:tc>
          <w:tcPr>
            <w:tcW w:w="634" w:type="dxa"/>
            <w:tcBorders>
              <w:top w:val="single" w:sz="4" w:space="0" w:color="auto"/>
              <w:left w:val="nil"/>
              <w:bottom w:val="single" w:sz="4" w:space="0" w:color="auto"/>
              <w:right w:val="single" w:sz="4" w:space="0" w:color="auto"/>
            </w:tcBorders>
            <w:shd w:val="clear" w:color="000000" w:fill="D9D9D9"/>
            <w:hideMark/>
          </w:tcPr>
          <w:p w14:paraId="5B35A978" w14:textId="77777777" w:rsidR="007D74AC" w:rsidRPr="007D74AC" w:rsidRDefault="007D74AC" w:rsidP="007D74AC">
            <w:pPr>
              <w:spacing w:after="0" w:line="240" w:lineRule="auto"/>
              <w:jc w:val="center"/>
              <w:rPr>
                <w:rFonts w:ascii="Times New Roman" w:eastAsia="Times New Roman" w:hAnsi="Times New Roman" w:cs="Times New Roman"/>
                <w:b/>
                <w:bCs/>
                <w:sz w:val="16"/>
                <w:szCs w:val="16"/>
                <w:lang w:val="en-GB" w:eastAsia="en-GB" w:bidi="ne-NP"/>
              </w:rPr>
            </w:pPr>
            <w:r w:rsidRPr="007D74AC">
              <w:rPr>
                <w:rFonts w:ascii="Times New Roman" w:eastAsia="Times New Roman" w:hAnsi="Times New Roman" w:cs="Times New Roman"/>
                <w:b/>
                <w:bCs/>
                <w:sz w:val="16"/>
                <w:szCs w:val="16"/>
                <w:lang w:val="en-GB" w:eastAsia="en-GB" w:bidi="ne-NP"/>
              </w:rPr>
              <w:t>Fonds</w:t>
            </w:r>
          </w:p>
        </w:tc>
        <w:tc>
          <w:tcPr>
            <w:tcW w:w="1043" w:type="dxa"/>
            <w:tcBorders>
              <w:top w:val="single" w:sz="4" w:space="0" w:color="auto"/>
              <w:left w:val="nil"/>
              <w:bottom w:val="single" w:sz="4" w:space="0" w:color="auto"/>
              <w:right w:val="single" w:sz="4" w:space="0" w:color="auto"/>
            </w:tcBorders>
            <w:shd w:val="clear" w:color="000000" w:fill="E2EFDA"/>
            <w:hideMark/>
          </w:tcPr>
          <w:p w14:paraId="34B3496B"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r w:rsidRPr="007D74AC">
              <w:rPr>
                <w:rFonts w:ascii="Times New Roman" w:eastAsia="Times New Roman" w:hAnsi="Times New Roman" w:cs="Times New Roman"/>
                <w:b/>
                <w:bCs/>
                <w:color w:val="000000"/>
                <w:sz w:val="16"/>
                <w:szCs w:val="16"/>
                <w:lang w:val="en-GB" w:eastAsia="en-GB" w:bidi="ne-NP"/>
              </w:rPr>
              <w:t xml:space="preserve">ES fondu </w:t>
            </w:r>
            <w:proofErr w:type="spellStart"/>
            <w:r w:rsidRPr="007D74AC">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5D146C21"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Intervences</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73851B28"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r w:rsidRPr="007D74AC">
              <w:rPr>
                <w:rFonts w:ascii="Times New Roman" w:eastAsia="Times New Roman" w:hAnsi="Times New Roman" w:cs="Times New Roman"/>
                <w:b/>
                <w:bCs/>
                <w:color w:val="000000"/>
                <w:sz w:val="16"/>
                <w:szCs w:val="16"/>
                <w:lang w:val="en-GB" w:eastAsia="en-GB" w:bidi="ne-NP"/>
              </w:rPr>
              <w:t xml:space="preserve">ES </w:t>
            </w:r>
            <w:proofErr w:type="spellStart"/>
            <w:r w:rsidRPr="007D74AC">
              <w:rPr>
                <w:rFonts w:ascii="Times New Roman" w:eastAsia="Times New Roman" w:hAnsi="Times New Roman" w:cs="Times New Roman"/>
                <w:b/>
                <w:bCs/>
                <w:color w:val="000000"/>
                <w:sz w:val="16"/>
                <w:szCs w:val="16"/>
                <w:lang w:val="en-GB" w:eastAsia="en-GB" w:bidi="ne-NP"/>
              </w:rPr>
              <w:t>fonda</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546FC052"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Intervences</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5E31EE1E"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r w:rsidRPr="007D74AC">
              <w:rPr>
                <w:rFonts w:ascii="Times New Roman" w:eastAsia="Times New Roman" w:hAnsi="Times New Roman" w:cs="Times New Roman"/>
                <w:b/>
                <w:bCs/>
                <w:color w:val="000000"/>
                <w:sz w:val="16"/>
                <w:szCs w:val="16"/>
                <w:lang w:val="en-GB" w:eastAsia="en-GB" w:bidi="ne-NP"/>
              </w:rPr>
              <w:t xml:space="preserve">ES </w:t>
            </w:r>
            <w:proofErr w:type="spellStart"/>
            <w:r w:rsidRPr="007D74AC">
              <w:rPr>
                <w:rFonts w:ascii="Times New Roman" w:eastAsia="Times New Roman" w:hAnsi="Times New Roman" w:cs="Times New Roman"/>
                <w:b/>
                <w:bCs/>
                <w:color w:val="000000"/>
                <w:sz w:val="16"/>
                <w:szCs w:val="16"/>
                <w:lang w:val="en-GB" w:eastAsia="en-GB" w:bidi="ne-NP"/>
              </w:rPr>
              <w:t>fonda</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3C88D70E"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Intervences</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68AF0BFA"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r w:rsidRPr="007D74AC">
              <w:rPr>
                <w:rFonts w:ascii="Times New Roman" w:eastAsia="Times New Roman" w:hAnsi="Times New Roman" w:cs="Times New Roman"/>
                <w:b/>
                <w:bCs/>
                <w:color w:val="000000"/>
                <w:sz w:val="16"/>
                <w:szCs w:val="16"/>
                <w:lang w:val="en-GB" w:eastAsia="en-GB" w:bidi="ne-NP"/>
              </w:rPr>
              <w:t xml:space="preserve">ES </w:t>
            </w:r>
            <w:proofErr w:type="spellStart"/>
            <w:r w:rsidRPr="007D74AC">
              <w:rPr>
                <w:rFonts w:ascii="Times New Roman" w:eastAsia="Times New Roman" w:hAnsi="Times New Roman" w:cs="Times New Roman"/>
                <w:b/>
                <w:bCs/>
                <w:color w:val="000000"/>
                <w:sz w:val="16"/>
                <w:szCs w:val="16"/>
                <w:lang w:val="en-GB" w:eastAsia="en-GB" w:bidi="ne-NP"/>
              </w:rPr>
              <w:t>fonda</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1E6B5222"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Intervences</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163AB3CD"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r w:rsidRPr="007D74AC">
              <w:rPr>
                <w:rFonts w:ascii="Times New Roman" w:eastAsia="Times New Roman" w:hAnsi="Times New Roman" w:cs="Times New Roman"/>
                <w:b/>
                <w:bCs/>
                <w:color w:val="000000"/>
                <w:sz w:val="16"/>
                <w:szCs w:val="16"/>
                <w:lang w:val="en-GB" w:eastAsia="en-GB" w:bidi="ne-NP"/>
              </w:rPr>
              <w:t xml:space="preserve">ES </w:t>
            </w:r>
            <w:proofErr w:type="spellStart"/>
            <w:r w:rsidRPr="007D74AC">
              <w:rPr>
                <w:rFonts w:ascii="Times New Roman" w:eastAsia="Times New Roman" w:hAnsi="Times New Roman" w:cs="Times New Roman"/>
                <w:b/>
                <w:bCs/>
                <w:color w:val="000000"/>
                <w:sz w:val="16"/>
                <w:szCs w:val="16"/>
                <w:lang w:val="en-GB" w:eastAsia="en-GB" w:bidi="ne-NP"/>
              </w:rPr>
              <w:t>fonda</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651083F5"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7D74AC">
              <w:rPr>
                <w:rFonts w:ascii="Times New Roman" w:eastAsia="Times New Roman" w:hAnsi="Times New Roman" w:cs="Times New Roman"/>
                <w:b/>
                <w:bCs/>
                <w:color w:val="000000"/>
                <w:sz w:val="16"/>
                <w:szCs w:val="16"/>
                <w:lang w:val="en-GB" w:eastAsia="en-GB" w:bidi="ne-NP"/>
              </w:rPr>
              <w:t>Intervences</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45A32898" w14:textId="77777777" w:rsidR="007D74AC" w:rsidRPr="007D74AC" w:rsidRDefault="007D74AC" w:rsidP="007D74AC">
            <w:pPr>
              <w:spacing w:after="0" w:line="240" w:lineRule="auto"/>
              <w:jc w:val="center"/>
              <w:rPr>
                <w:rFonts w:ascii="Times New Roman" w:eastAsia="Times New Roman" w:hAnsi="Times New Roman" w:cs="Times New Roman"/>
                <w:b/>
                <w:bCs/>
                <w:color w:val="000000"/>
                <w:sz w:val="16"/>
                <w:szCs w:val="16"/>
                <w:lang w:val="en-GB" w:eastAsia="en-GB" w:bidi="ne-NP"/>
              </w:rPr>
            </w:pPr>
            <w:r w:rsidRPr="007D74AC">
              <w:rPr>
                <w:rFonts w:ascii="Times New Roman" w:eastAsia="Times New Roman" w:hAnsi="Times New Roman" w:cs="Times New Roman"/>
                <w:b/>
                <w:bCs/>
                <w:color w:val="000000"/>
                <w:sz w:val="16"/>
                <w:szCs w:val="16"/>
                <w:lang w:val="en-GB" w:eastAsia="en-GB" w:bidi="ne-NP"/>
              </w:rPr>
              <w:t xml:space="preserve">ES </w:t>
            </w:r>
            <w:proofErr w:type="spellStart"/>
            <w:r w:rsidRPr="007D74AC">
              <w:rPr>
                <w:rFonts w:ascii="Times New Roman" w:eastAsia="Times New Roman" w:hAnsi="Times New Roman" w:cs="Times New Roman"/>
                <w:b/>
                <w:bCs/>
                <w:color w:val="000000"/>
                <w:sz w:val="16"/>
                <w:szCs w:val="16"/>
                <w:lang w:val="en-GB" w:eastAsia="en-GB" w:bidi="ne-NP"/>
              </w:rPr>
              <w:t>fonda</w:t>
            </w:r>
            <w:proofErr w:type="spellEnd"/>
            <w:r w:rsidRPr="007D74AC">
              <w:rPr>
                <w:rFonts w:ascii="Times New Roman" w:eastAsia="Times New Roman" w:hAnsi="Times New Roman" w:cs="Times New Roman"/>
                <w:b/>
                <w:bCs/>
                <w:color w:val="000000"/>
                <w:sz w:val="16"/>
                <w:szCs w:val="16"/>
                <w:lang w:val="en-GB" w:eastAsia="en-GB" w:bidi="ne-NP"/>
              </w:rPr>
              <w:t xml:space="preserve"> </w:t>
            </w:r>
            <w:proofErr w:type="spellStart"/>
            <w:r w:rsidRPr="007D74AC">
              <w:rPr>
                <w:rFonts w:ascii="Times New Roman" w:eastAsia="Times New Roman" w:hAnsi="Times New Roman" w:cs="Times New Roman"/>
                <w:b/>
                <w:bCs/>
                <w:color w:val="000000"/>
                <w:sz w:val="16"/>
                <w:szCs w:val="16"/>
                <w:lang w:val="en-GB" w:eastAsia="en-GB" w:bidi="ne-NP"/>
              </w:rPr>
              <w:t>finansējums</w:t>
            </w:r>
            <w:proofErr w:type="spellEnd"/>
          </w:p>
        </w:tc>
      </w:tr>
      <w:tr w:rsidR="00BF76FB" w:rsidRPr="007D74AC" w14:paraId="2411148A"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8417060"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1.1.1.1.</w:t>
            </w:r>
          </w:p>
        </w:tc>
        <w:tc>
          <w:tcPr>
            <w:tcW w:w="1619" w:type="dxa"/>
            <w:tcBorders>
              <w:top w:val="nil"/>
              <w:left w:val="nil"/>
              <w:bottom w:val="single" w:sz="4" w:space="0" w:color="auto"/>
              <w:right w:val="single" w:sz="4" w:space="0" w:color="auto"/>
            </w:tcBorders>
            <w:shd w:val="clear" w:color="auto" w:fill="auto"/>
            <w:noWrap/>
            <w:hideMark/>
          </w:tcPr>
          <w:p w14:paraId="4180E4D9"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proofErr w:type="spellStart"/>
            <w:r w:rsidRPr="007D74AC">
              <w:rPr>
                <w:rFonts w:ascii="Times New Roman" w:eastAsia="Times New Roman" w:hAnsi="Times New Roman" w:cs="Times New Roman"/>
                <w:color w:val="000000"/>
                <w:sz w:val="16"/>
                <w:szCs w:val="16"/>
                <w:lang w:val="en-GB" w:eastAsia="en-GB" w:bidi="ne-NP"/>
              </w:rPr>
              <w:t>Zinātnes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politikas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proofErr w:type="gramStart"/>
            <w:r w:rsidRPr="007D74AC">
              <w:rPr>
                <w:rFonts w:ascii="Times New Roman" w:eastAsia="Times New Roman" w:hAnsi="Times New Roman" w:cs="Times New Roman"/>
                <w:color w:val="000000"/>
                <w:sz w:val="16"/>
                <w:szCs w:val="16"/>
                <w:lang w:val="en-GB" w:eastAsia="en-GB" w:bidi="ne-NP"/>
              </w:rPr>
              <w:t>ieviešana,vadība</w:t>
            </w:r>
            <w:proofErr w:type="spellEnd"/>
            <w:proofErr w:type="gramEnd"/>
            <w:r w:rsidRPr="007D74AC">
              <w:rPr>
                <w:rFonts w:ascii="Times New Roman" w:eastAsia="Times New Roman" w:hAnsi="Times New Roman" w:cs="Times New Roman"/>
                <w:color w:val="000000"/>
                <w:sz w:val="16"/>
                <w:szCs w:val="16"/>
                <w:lang w:val="en-GB" w:eastAsia="en-GB" w:bidi="ne-NP"/>
              </w:rPr>
              <w:t xml:space="preserve"> un </w:t>
            </w:r>
            <w:proofErr w:type="spellStart"/>
            <w:r w:rsidRPr="007D74AC">
              <w:rPr>
                <w:rFonts w:ascii="Times New Roman" w:eastAsia="Times New Roman" w:hAnsi="Times New Roman" w:cs="Times New Roman"/>
                <w:color w:val="000000"/>
                <w:sz w:val="16"/>
                <w:szCs w:val="16"/>
                <w:lang w:val="en-GB" w:eastAsia="en-GB" w:bidi="ne-NP"/>
              </w:rPr>
              <w:t>kapacitātes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stiprināšana</w:t>
            </w:r>
            <w:proofErr w:type="spellEnd"/>
          </w:p>
        </w:tc>
        <w:tc>
          <w:tcPr>
            <w:tcW w:w="688" w:type="dxa"/>
            <w:tcBorders>
              <w:top w:val="nil"/>
              <w:left w:val="nil"/>
              <w:bottom w:val="single" w:sz="4" w:space="0" w:color="auto"/>
              <w:right w:val="single" w:sz="4" w:space="0" w:color="auto"/>
            </w:tcBorders>
            <w:shd w:val="clear" w:color="auto" w:fill="auto"/>
            <w:noWrap/>
            <w:hideMark/>
          </w:tcPr>
          <w:p w14:paraId="08D827BC"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67791509"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B28EDE3" w14:textId="40A8AE11"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10 121 536</w:t>
            </w:r>
          </w:p>
        </w:tc>
        <w:tc>
          <w:tcPr>
            <w:tcW w:w="1007" w:type="dxa"/>
            <w:tcBorders>
              <w:top w:val="nil"/>
              <w:left w:val="nil"/>
              <w:bottom w:val="single" w:sz="4" w:space="0" w:color="auto"/>
              <w:right w:val="single" w:sz="4" w:space="0" w:color="auto"/>
            </w:tcBorders>
            <w:shd w:val="clear" w:color="auto" w:fill="auto"/>
            <w:noWrap/>
            <w:hideMark/>
          </w:tcPr>
          <w:p w14:paraId="5C3ADB5B" w14:textId="557CB079"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16</w:t>
            </w:r>
          </w:p>
        </w:tc>
        <w:tc>
          <w:tcPr>
            <w:tcW w:w="1043" w:type="dxa"/>
            <w:tcBorders>
              <w:top w:val="nil"/>
              <w:left w:val="nil"/>
              <w:bottom w:val="single" w:sz="4" w:space="0" w:color="auto"/>
              <w:right w:val="single" w:sz="4" w:space="0" w:color="auto"/>
            </w:tcBorders>
            <w:shd w:val="clear" w:color="auto" w:fill="auto"/>
            <w:noWrap/>
            <w:hideMark/>
          </w:tcPr>
          <w:p w14:paraId="58FE0D3F" w14:textId="0BC3FFF1"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2 530 384</w:t>
            </w:r>
          </w:p>
        </w:tc>
        <w:tc>
          <w:tcPr>
            <w:tcW w:w="1007" w:type="dxa"/>
            <w:tcBorders>
              <w:top w:val="nil"/>
              <w:left w:val="nil"/>
              <w:bottom w:val="single" w:sz="4" w:space="0" w:color="auto"/>
              <w:right w:val="single" w:sz="4" w:space="0" w:color="auto"/>
            </w:tcBorders>
            <w:shd w:val="clear" w:color="auto" w:fill="auto"/>
            <w:noWrap/>
            <w:hideMark/>
          </w:tcPr>
          <w:p w14:paraId="254F05E7" w14:textId="69CE1B0B"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23</w:t>
            </w:r>
          </w:p>
        </w:tc>
        <w:tc>
          <w:tcPr>
            <w:tcW w:w="1043" w:type="dxa"/>
            <w:tcBorders>
              <w:top w:val="nil"/>
              <w:left w:val="nil"/>
              <w:bottom w:val="single" w:sz="4" w:space="0" w:color="auto"/>
              <w:right w:val="single" w:sz="4" w:space="0" w:color="auto"/>
            </w:tcBorders>
            <w:shd w:val="clear" w:color="auto" w:fill="auto"/>
            <w:noWrap/>
            <w:hideMark/>
          </w:tcPr>
          <w:p w14:paraId="63A2247D" w14:textId="7B99908B"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2 530 384</w:t>
            </w:r>
          </w:p>
        </w:tc>
        <w:tc>
          <w:tcPr>
            <w:tcW w:w="1007" w:type="dxa"/>
            <w:tcBorders>
              <w:top w:val="nil"/>
              <w:left w:val="nil"/>
              <w:bottom w:val="single" w:sz="4" w:space="0" w:color="auto"/>
              <w:right w:val="single" w:sz="4" w:space="0" w:color="auto"/>
            </w:tcBorders>
            <w:shd w:val="clear" w:color="auto" w:fill="auto"/>
            <w:noWrap/>
            <w:hideMark/>
          </w:tcPr>
          <w:p w14:paraId="5E5ECABE" w14:textId="570AF5EE"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28</w:t>
            </w:r>
          </w:p>
        </w:tc>
        <w:tc>
          <w:tcPr>
            <w:tcW w:w="1043" w:type="dxa"/>
            <w:tcBorders>
              <w:top w:val="nil"/>
              <w:left w:val="nil"/>
              <w:bottom w:val="single" w:sz="4" w:space="0" w:color="auto"/>
              <w:right w:val="single" w:sz="4" w:space="0" w:color="auto"/>
            </w:tcBorders>
            <w:shd w:val="clear" w:color="auto" w:fill="auto"/>
            <w:noWrap/>
            <w:hideMark/>
          </w:tcPr>
          <w:p w14:paraId="7594B41C" w14:textId="67AF1972"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2 530 384</w:t>
            </w:r>
          </w:p>
        </w:tc>
        <w:tc>
          <w:tcPr>
            <w:tcW w:w="1007" w:type="dxa"/>
            <w:tcBorders>
              <w:top w:val="nil"/>
              <w:left w:val="nil"/>
              <w:bottom w:val="single" w:sz="4" w:space="0" w:color="auto"/>
              <w:right w:val="single" w:sz="4" w:space="0" w:color="auto"/>
            </w:tcBorders>
            <w:shd w:val="clear" w:color="auto" w:fill="auto"/>
            <w:noWrap/>
            <w:hideMark/>
          </w:tcPr>
          <w:p w14:paraId="64CE9540" w14:textId="3EF4FA08"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30</w:t>
            </w:r>
          </w:p>
        </w:tc>
        <w:tc>
          <w:tcPr>
            <w:tcW w:w="1043" w:type="dxa"/>
            <w:tcBorders>
              <w:top w:val="nil"/>
              <w:left w:val="nil"/>
              <w:bottom w:val="single" w:sz="4" w:space="0" w:color="auto"/>
              <w:right w:val="single" w:sz="4" w:space="0" w:color="auto"/>
            </w:tcBorders>
            <w:shd w:val="clear" w:color="auto" w:fill="auto"/>
            <w:noWrap/>
            <w:hideMark/>
          </w:tcPr>
          <w:p w14:paraId="6440947C" w14:textId="545B098D"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2 530 384</w:t>
            </w:r>
          </w:p>
        </w:tc>
        <w:tc>
          <w:tcPr>
            <w:tcW w:w="1007" w:type="dxa"/>
            <w:tcBorders>
              <w:top w:val="nil"/>
              <w:left w:val="nil"/>
              <w:bottom w:val="single" w:sz="4" w:space="0" w:color="auto"/>
              <w:right w:val="single" w:sz="4" w:space="0" w:color="auto"/>
            </w:tcBorders>
            <w:shd w:val="clear" w:color="auto" w:fill="auto"/>
            <w:noWrap/>
            <w:hideMark/>
          </w:tcPr>
          <w:p w14:paraId="1C8D49E4" w14:textId="2BCB0056"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358786E" w14:textId="05791036"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r>
      <w:tr w:rsidR="00BF76FB" w:rsidRPr="007D74AC" w14:paraId="41AF94F1"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E4DC049"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1.1.1.2.</w:t>
            </w:r>
          </w:p>
        </w:tc>
        <w:tc>
          <w:tcPr>
            <w:tcW w:w="1619" w:type="dxa"/>
            <w:tcBorders>
              <w:top w:val="nil"/>
              <w:left w:val="nil"/>
              <w:bottom w:val="single" w:sz="4" w:space="0" w:color="auto"/>
              <w:right w:val="single" w:sz="4" w:space="0" w:color="auto"/>
            </w:tcBorders>
            <w:shd w:val="clear" w:color="auto" w:fill="auto"/>
            <w:noWrap/>
            <w:hideMark/>
          </w:tcPr>
          <w:p w14:paraId="47D6754E"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 xml:space="preserve">RIS3 </w:t>
            </w:r>
            <w:proofErr w:type="spellStart"/>
            <w:r w:rsidRPr="007D74AC">
              <w:rPr>
                <w:rFonts w:ascii="Times New Roman" w:eastAsia="Times New Roman" w:hAnsi="Times New Roman" w:cs="Times New Roman"/>
                <w:color w:val="000000"/>
                <w:sz w:val="16"/>
                <w:szCs w:val="16"/>
                <w:lang w:val="en-GB" w:eastAsia="en-GB" w:bidi="ne-NP"/>
              </w:rPr>
              <w:t>pētniecības</w:t>
            </w:r>
            <w:proofErr w:type="spellEnd"/>
            <w:r w:rsidRPr="007D74AC">
              <w:rPr>
                <w:rFonts w:ascii="Times New Roman" w:eastAsia="Times New Roman" w:hAnsi="Times New Roman" w:cs="Times New Roman"/>
                <w:color w:val="000000"/>
                <w:sz w:val="16"/>
                <w:szCs w:val="16"/>
                <w:lang w:val="en-GB" w:eastAsia="en-GB" w:bidi="ne-NP"/>
              </w:rPr>
              <w:t xml:space="preserve"> un </w:t>
            </w:r>
            <w:proofErr w:type="spellStart"/>
            <w:r w:rsidRPr="007D74AC">
              <w:rPr>
                <w:rFonts w:ascii="Times New Roman" w:eastAsia="Times New Roman" w:hAnsi="Times New Roman" w:cs="Times New Roman"/>
                <w:color w:val="000000"/>
                <w:sz w:val="16"/>
                <w:szCs w:val="16"/>
                <w:lang w:val="en-GB" w:eastAsia="en-GB" w:bidi="ne-NP"/>
              </w:rPr>
              <w:t>inovācijas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centri</w:t>
            </w:r>
            <w:proofErr w:type="spellEnd"/>
          </w:p>
        </w:tc>
        <w:tc>
          <w:tcPr>
            <w:tcW w:w="688" w:type="dxa"/>
            <w:tcBorders>
              <w:top w:val="nil"/>
              <w:left w:val="nil"/>
              <w:bottom w:val="single" w:sz="4" w:space="0" w:color="auto"/>
              <w:right w:val="single" w:sz="4" w:space="0" w:color="auto"/>
            </w:tcBorders>
            <w:shd w:val="clear" w:color="auto" w:fill="auto"/>
            <w:noWrap/>
            <w:hideMark/>
          </w:tcPr>
          <w:p w14:paraId="095F0170"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1CC6DFD6"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1485C66C" w14:textId="25C5CC12"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51 765 000</w:t>
            </w:r>
          </w:p>
        </w:tc>
        <w:tc>
          <w:tcPr>
            <w:tcW w:w="1007" w:type="dxa"/>
            <w:tcBorders>
              <w:top w:val="nil"/>
              <w:left w:val="nil"/>
              <w:bottom w:val="single" w:sz="4" w:space="0" w:color="auto"/>
              <w:right w:val="single" w:sz="4" w:space="0" w:color="auto"/>
            </w:tcBorders>
            <w:shd w:val="clear" w:color="auto" w:fill="auto"/>
            <w:noWrap/>
            <w:hideMark/>
          </w:tcPr>
          <w:p w14:paraId="6B19E11E" w14:textId="220247F5"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4</w:t>
            </w:r>
          </w:p>
        </w:tc>
        <w:tc>
          <w:tcPr>
            <w:tcW w:w="1043" w:type="dxa"/>
            <w:tcBorders>
              <w:top w:val="nil"/>
              <w:left w:val="nil"/>
              <w:bottom w:val="single" w:sz="4" w:space="0" w:color="auto"/>
              <w:right w:val="single" w:sz="4" w:space="0" w:color="auto"/>
            </w:tcBorders>
            <w:shd w:val="clear" w:color="auto" w:fill="auto"/>
            <w:noWrap/>
            <w:hideMark/>
          </w:tcPr>
          <w:p w14:paraId="5ADE2B77" w14:textId="2E091597"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25 882 500</w:t>
            </w:r>
          </w:p>
        </w:tc>
        <w:tc>
          <w:tcPr>
            <w:tcW w:w="1007" w:type="dxa"/>
            <w:tcBorders>
              <w:top w:val="nil"/>
              <w:left w:val="nil"/>
              <w:bottom w:val="single" w:sz="4" w:space="0" w:color="auto"/>
              <w:right w:val="single" w:sz="4" w:space="0" w:color="auto"/>
            </w:tcBorders>
            <w:shd w:val="clear" w:color="auto" w:fill="auto"/>
            <w:noWrap/>
            <w:hideMark/>
          </w:tcPr>
          <w:p w14:paraId="18365FE8" w14:textId="3B42E174"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8</w:t>
            </w:r>
          </w:p>
        </w:tc>
        <w:tc>
          <w:tcPr>
            <w:tcW w:w="1043" w:type="dxa"/>
            <w:tcBorders>
              <w:top w:val="nil"/>
              <w:left w:val="nil"/>
              <w:bottom w:val="single" w:sz="4" w:space="0" w:color="auto"/>
              <w:right w:val="single" w:sz="4" w:space="0" w:color="auto"/>
            </w:tcBorders>
            <w:shd w:val="clear" w:color="auto" w:fill="auto"/>
            <w:noWrap/>
            <w:hideMark/>
          </w:tcPr>
          <w:p w14:paraId="7909FB6E" w14:textId="3A2A945D"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25 882 500</w:t>
            </w:r>
          </w:p>
        </w:tc>
        <w:tc>
          <w:tcPr>
            <w:tcW w:w="1007" w:type="dxa"/>
            <w:tcBorders>
              <w:top w:val="nil"/>
              <w:left w:val="nil"/>
              <w:bottom w:val="single" w:sz="4" w:space="0" w:color="auto"/>
              <w:right w:val="single" w:sz="4" w:space="0" w:color="auto"/>
            </w:tcBorders>
            <w:shd w:val="clear" w:color="auto" w:fill="auto"/>
            <w:noWrap/>
            <w:hideMark/>
          </w:tcPr>
          <w:p w14:paraId="0EFF94FD" w14:textId="7242FD7F"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E036248" w14:textId="22772926"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62DE6315" w14:textId="4EA37AC8"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088C1172" w14:textId="4991D5F5"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0085FCB6" w14:textId="2EEB4D2E"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F3C91BC" w14:textId="5D269B6A"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r>
      <w:tr w:rsidR="00BF76FB" w:rsidRPr="007D74AC" w14:paraId="49E29CB7"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07F1B703"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1.1.1.3.</w:t>
            </w:r>
          </w:p>
        </w:tc>
        <w:tc>
          <w:tcPr>
            <w:tcW w:w="1619" w:type="dxa"/>
            <w:tcBorders>
              <w:top w:val="nil"/>
              <w:left w:val="nil"/>
              <w:bottom w:val="single" w:sz="4" w:space="0" w:color="auto"/>
              <w:right w:val="single" w:sz="4" w:space="0" w:color="auto"/>
            </w:tcBorders>
            <w:shd w:val="clear" w:color="auto" w:fill="auto"/>
            <w:noWrap/>
            <w:hideMark/>
          </w:tcPr>
          <w:p w14:paraId="5F06949A"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proofErr w:type="spellStart"/>
            <w:r w:rsidRPr="007D74AC">
              <w:rPr>
                <w:rFonts w:ascii="Times New Roman" w:eastAsia="Times New Roman" w:hAnsi="Times New Roman" w:cs="Times New Roman"/>
                <w:color w:val="000000"/>
                <w:sz w:val="16"/>
                <w:szCs w:val="16"/>
                <w:lang w:val="en-GB" w:eastAsia="en-GB" w:bidi="ne-NP"/>
              </w:rPr>
              <w:t>Praktiskas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ievirzes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pētījumi</w:t>
            </w:r>
            <w:proofErr w:type="spellEnd"/>
          </w:p>
        </w:tc>
        <w:tc>
          <w:tcPr>
            <w:tcW w:w="688" w:type="dxa"/>
            <w:tcBorders>
              <w:top w:val="nil"/>
              <w:left w:val="nil"/>
              <w:bottom w:val="single" w:sz="4" w:space="0" w:color="auto"/>
              <w:right w:val="single" w:sz="4" w:space="0" w:color="auto"/>
            </w:tcBorders>
            <w:shd w:val="clear" w:color="auto" w:fill="auto"/>
            <w:noWrap/>
            <w:hideMark/>
          </w:tcPr>
          <w:p w14:paraId="1A7FBFB9"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31EAE5A3"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1B78785B" w14:textId="05CBB1FC"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35 496 000</w:t>
            </w:r>
          </w:p>
        </w:tc>
        <w:tc>
          <w:tcPr>
            <w:tcW w:w="1007" w:type="dxa"/>
            <w:tcBorders>
              <w:top w:val="nil"/>
              <w:left w:val="nil"/>
              <w:bottom w:val="single" w:sz="4" w:space="0" w:color="auto"/>
              <w:right w:val="single" w:sz="4" w:space="0" w:color="auto"/>
            </w:tcBorders>
            <w:shd w:val="clear" w:color="auto" w:fill="auto"/>
            <w:noWrap/>
            <w:hideMark/>
          </w:tcPr>
          <w:p w14:paraId="77AE023D" w14:textId="77576F78"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10</w:t>
            </w:r>
          </w:p>
        </w:tc>
        <w:tc>
          <w:tcPr>
            <w:tcW w:w="1043" w:type="dxa"/>
            <w:tcBorders>
              <w:top w:val="nil"/>
              <w:left w:val="nil"/>
              <w:bottom w:val="single" w:sz="4" w:space="0" w:color="auto"/>
              <w:right w:val="single" w:sz="4" w:space="0" w:color="auto"/>
            </w:tcBorders>
            <w:shd w:val="clear" w:color="auto" w:fill="auto"/>
            <w:noWrap/>
            <w:hideMark/>
          </w:tcPr>
          <w:p w14:paraId="6998CD6D" w14:textId="2047B9DC"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8 519 040</w:t>
            </w:r>
          </w:p>
        </w:tc>
        <w:tc>
          <w:tcPr>
            <w:tcW w:w="1007" w:type="dxa"/>
            <w:tcBorders>
              <w:top w:val="nil"/>
              <w:left w:val="nil"/>
              <w:bottom w:val="single" w:sz="4" w:space="0" w:color="auto"/>
              <w:right w:val="single" w:sz="4" w:space="0" w:color="auto"/>
            </w:tcBorders>
            <w:shd w:val="clear" w:color="auto" w:fill="auto"/>
            <w:noWrap/>
            <w:hideMark/>
          </w:tcPr>
          <w:p w14:paraId="260DC4C3" w14:textId="15F76F59"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79423179" w14:textId="11499F2E"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8 519 040</w:t>
            </w:r>
          </w:p>
        </w:tc>
        <w:tc>
          <w:tcPr>
            <w:tcW w:w="1007" w:type="dxa"/>
            <w:tcBorders>
              <w:top w:val="nil"/>
              <w:left w:val="nil"/>
              <w:bottom w:val="single" w:sz="4" w:space="0" w:color="auto"/>
              <w:right w:val="single" w:sz="4" w:space="0" w:color="auto"/>
            </w:tcBorders>
            <w:shd w:val="clear" w:color="auto" w:fill="auto"/>
            <w:noWrap/>
            <w:hideMark/>
          </w:tcPr>
          <w:p w14:paraId="7B70D77B" w14:textId="69E73B9B"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33077282" w14:textId="35F706D2"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8 519 040</w:t>
            </w:r>
          </w:p>
        </w:tc>
        <w:tc>
          <w:tcPr>
            <w:tcW w:w="1007" w:type="dxa"/>
            <w:tcBorders>
              <w:top w:val="nil"/>
              <w:left w:val="nil"/>
              <w:bottom w:val="single" w:sz="4" w:space="0" w:color="auto"/>
              <w:right w:val="single" w:sz="4" w:space="0" w:color="auto"/>
            </w:tcBorders>
            <w:shd w:val="clear" w:color="auto" w:fill="auto"/>
            <w:noWrap/>
            <w:hideMark/>
          </w:tcPr>
          <w:p w14:paraId="3FC0C390" w14:textId="44C51A2A"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28</w:t>
            </w:r>
          </w:p>
        </w:tc>
        <w:tc>
          <w:tcPr>
            <w:tcW w:w="1043" w:type="dxa"/>
            <w:tcBorders>
              <w:top w:val="nil"/>
              <w:left w:val="nil"/>
              <w:bottom w:val="single" w:sz="4" w:space="0" w:color="auto"/>
              <w:right w:val="single" w:sz="4" w:space="0" w:color="auto"/>
            </w:tcBorders>
            <w:shd w:val="clear" w:color="auto" w:fill="auto"/>
            <w:noWrap/>
            <w:hideMark/>
          </w:tcPr>
          <w:p w14:paraId="611B3916" w14:textId="2F9F00F7"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8 519 040</w:t>
            </w:r>
          </w:p>
        </w:tc>
        <w:tc>
          <w:tcPr>
            <w:tcW w:w="1007" w:type="dxa"/>
            <w:tcBorders>
              <w:top w:val="nil"/>
              <w:left w:val="nil"/>
              <w:bottom w:val="single" w:sz="4" w:space="0" w:color="auto"/>
              <w:right w:val="single" w:sz="4" w:space="0" w:color="auto"/>
            </w:tcBorders>
            <w:shd w:val="clear" w:color="auto" w:fill="auto"/>
            <w:noWrap/>
            <w:hideMark/>
          </w:tcPr>
          <w:p w14:paraId="6C69EFA9" w14:textId="27A055D6"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29</w:t>
            </w:r>
          </w:p>
        </w:tc>
        <w:tc>
          <w:tcPr>
            <w:tcW w:w="1043" w:type="dxa"/>
            <w:tcBorders>
              <w:top w:val="nil"/>
              <w:left w:val="nil"/>
              <w:bottom w:val="single" w:sz="4" w:space="0" w:color="auto"/>
              <w:right w:val="single" w:sz="4" w:space="0" w:color="auto"/>
            </w:tcBorders>
            <w:shd w:val="clear" w:color="auto" w:fill="auto"/>
            <w:noWrap/>
            <w:hideMark/>
          </w:tcPr>
          <w:p w14:paraId="371C0B19" w14:textId="0A2E6D80"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1 419 840</w:t>
            </w:r>
          </w:p>
        </w:tc>
      </w:tr>
      <w:tr w:rsidR="00BF76FB" w:rsidRPr="007D74AC" w14:paraId="2B669256"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15A30222"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1.1.1.4.</w:t>
            </w:r>
          </w:p>
        </w:tc>
        <w:tc>
          <w:tcPr>
            <w:tcW w:w="1619" w:type="dxa"/>
            <w:tcBorders>
              <w:top w:val="nil"/>
              <w:left w:val="nil"/>
              <w:bottom w:val="single" w:sz="4" w:space="0" w:color="auto"/>
              <w:right w:val="single" w:sz="4" w:space="0" w:color="auto"/>
            </w:tcBorders>
            <w:shd w:val="clear" w:color="auto" w:fill="auto"/>
            <w:noWrap/>
            <w:hideMark/>
          </w:tcPr>
          <w:p w14:paraId="29958A2D"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proofErr w:type="spellStart"/>
            <w:r w:rsidRPr="007D74AC">
              <w:rPr>
                <w:rFonts w:ascii="Times New Roman" w:eastAsia="Times New Roman" w:hAnsi="Times New Roman" w:cs="Times New Roman"/>
                <w:color w:val="000000"/>
                <w:sz w:val="16"/>
                <w:szCs w:val="16"/>
                <w:lang w:val="en-GB" w:eastAsia="en-GB" w:bidi="ne-NP"/>
              </w:rPr>
              <w:t>Mobilitātes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pieredzes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apmaiņas</w:t>
            </w:r>
            <w:proofErr w:type="spellEnd"/>
            <w:r w:rsidRPr="007D74AC">
              <w:rPr>
                <w:rFonts w:ascii="Times New Roman" w:eastAsia="Times New Roman" w:hAnsi="Times New Roman" w:cs="Times New Roman"/>
                <w:color w:val="000000"/>
                <w:sz w:val="16"/>
                <w:szCs w:val="16"/>
                <w:lang w:val="en-GB" w:eastAsia="en-GB" w:bidi="ne-NP"/>
              </w:rPr>
              <w:t xml:space="preserve"> un sadarbības </w:t>
            </w:r>
            <w:proofErr w:type="spellStart"/>
            <w:r w:rsidRPr="007D74AC">
              <w:rPr>
                <w:rFonts w:ascii="Times New Roman" w:eastAsia="Times New Roman" w:hAnsi="Times New Roman" w:cs="Times New Roman"/>
                <w:color w:val="000000"/>
                <w:sz w:val="16"/>
                <w:szCs w:val="16"/>
                <w:lang w:val="en-GB" w:eastAsia="en-GB" w:bidi="ne-NP"/>
              </w:rPr>
              <w:t>aktivitātes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starptautiskās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konkurētspējas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uzlabošanai</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zinātnē</w:t>
            </w:r>
            <w:proofErr w:type="spellEnd"/>
          </w:p>
        </w:tc>
        <w:tc>
          <w:tcPr>
            <w:tcW w:w="688" w:type="dxa"/>
            <w:tcBorders>
              <w:top w:val="nil"/>
              <w:left w:val="nil"/>
              <w:bottom w:val="single" w:sz="4" w:space="0" w:color="auto"/>
              <w:right w:val="single" w:sz="4" w:space="0" w:color="auto"/>
            </w:tcBorders>
            <w:shd w:val="clear" w:color="auto" w:fill="auto"/>
            <w:noWrap/>
            <w:hideMark/>
          </w:tcPr>
          <w:p w14:paraId="68E2A02F"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592821FC"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73ACA480" w14:textId="48C07E80"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5 176 500</w:t>
            </w:r>
          </w:p>
        </w:tc>
        <w:tc>
          <w:tcPr>
            <w:tcW w:w="1007" w:type="dxa"/>
            <w:tcBorders>
              <w:top w:val="nil"/>
              <w:left w:val="nil"/>
              <w:bottom w:val="single" w:sz="4" w:space="0" w:color="auto"/>
              <w:right w:val="single" w:sz="4" w:space="0" w:color="auto"/>
            </w:tcBorders>
            <w:shd w:val="clear" w:color="auto" w:fill="auto"/>
            <w:noWrap/>
            <w:hideMark/>
          </w:tcPr>
          <w:p w14:paraId="412FA82E" w14:textId="76EA3C32"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9</w:t>
            </w:r>
          </w:p>
        </w:tc>
        <w:tc>
          <w:tcPr>
            <w:tcW w:w="1043" w:type="dxa"/>
            <w:tcBorders>
              <w:top w:val="nil"/>
              <w:left w:val="nil"/>
              <w:bottom w:val="single" w:sz="4" w:space="0" w:color="auto"/>
              <w:right w:val="single" w:sz="4" w:space="0" w:color="auto"/>
            </w:tcBorders>
            <w:shd w:val="clear" w:color="auto" w:fill="auto"/>
            <w:noWrap/>
            <w:hideMark/>
          </w:tcPr>
          <w:p w14:paraId="5C53B2EB" w14:textId="09764C5B"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1 229 419</w:t>
            </w:r>
          </w:p>
        </w:tc>
        <w:tc>
          <w:tcPr>
            <w:tcW w:w="1007" w:type="dxa"/>
            <w:tcBorders>
              <w:top w:val="nil"/>
              <w:left w:val="nil"/>
              <w:bottom w:val="single" w:sz="4" w:space="0" w:color="auto"/>
              <w:right w:val="single" w:sz="4" w:space="0" w:color="auto"/>
            </w:tcBorders>
            <w:shd w:val="clear" w:color="auto" w:fill="auto"/>
            <w:noWrap/>
            <w:hideMark/>
          </w:tcPr>
          <w:p w14:paraId="1203C2C8" w14:textId="528E794C"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10</w:t>
            </w:r>
          </w:p>
        </w:tc>
        <w:tc>
          <w:tcPr>
            <w:tcW w:w="1043" w:type="dxa"/>
            <w:tcBorders>
              <w:top w:val="nil"/>
              <w:left w:val="nil"/>
              <w:bottom w:val="single" w:sz="4" w:space="0" w:color="auto"/>
              <w:right w:val="single" w:sz="4" w:space="0" w:color="auto"/>
            </w:tcBorders>
            <w:shd w:val="clear" w:color="auto" w:fill="auto"/>
            <w:noWrap/>
            <w:hideMark/>
          </w:tcPr>
          <w:p w14:paraId="35542B3A" w14:textId="54FE0E02"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1 229 419</w:t>
            </w:r>
          </w:p>
        </w:tc>
        <w:tc>
          <w:tcPr>
            <w:tcW w:w="1007" w:type="dxa"/>
            <w:tcBorders>
              <w:top w:val="nil"/>
              <w:left w:val="nil"/>
              <w:bottom w:val="single" w:sz="4" w:space="0" w:color="auto"/>
              <w:right w:val="single" w:sz="4" w:space="0" w:color="auto"/>
            </w:tcBorders>
            <w:shd w:val="clear" w:color="auto" w:fill="auto"/>
            <w:noWrap/>
            <w:hideMark/>
          </w:tcPr>
          <w:p w14:paraId="790B2F3A" w14:textId="2133EEA6"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3D1FB822" w14:textId="0B7A31A5"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1 229 419</w:t>
            </w:r>
          </w:p>
        </w:tc>
        <w:tc>
          <w:tcPr>
            <w:tcW w:w="1007" w:type="dxa"/>
            <w:tcBorders>
              <w:top w:val="nil"/>
              <w:left w:val="nil"/>
              <w:bottom w:val="single" w:sz="4" w:space="0" w:color="auto"/>
              <w:right w:val="single" w:sz="4" w:space="0" w:color="auto"/>
            </w:tcBorders>
            <w:shd w:val="clear" w:color="auto" w:fill="auto"/>
            <w:noWrap/>
            <w:hideMark/>
          </w:tcPr>
          <w:p w14:paraId="04E7D822" w14:textId="4C8E1D3A"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4D5B336B" w14:textId="4D998D88"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1 229 419</w:t>
            </w:r>
          </w:p>
        </w:tc>
        <w:tc>
          <w:tcPr>
            <w:tcW w:w="1007" w:type="dxa"/>
            <w:tcBorders>
              <w:top w:val="nil"/>
              <w:left w:val="nil"/>
              <w:bottom w:val="single" w:sz="4" w:space="0" w:color="auto"/>
              <w:right w:val="single" w:sz="4" w:space="0" w:color="auto"/>
            </w:tcBorders>
            <w:shd w:val="clear" w:color="auto" w:fill="auto"/>
            <w:noWrap/>
            <w:hideMark/>
          </w:tcPr>
          <w:p w14:paraId="3ED06A03" w14:textId="654DFE22"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29</w:t>
            </w:r>
          </w:p>
        </w:tc>
        <w:tc>
          <w:tcPr>
            <w:tcW w:w="1043" w:type="dxa"/>
            <w:tcBorders>
              <w:top w:val="nil"/>
              <w:left w:val="nil"/>
              <w:bottom w:val="single" w:sz="4" w:space="0" w:color="auto"/>
              <w:right w:val="single" w:sz="4" w:space="0" w:color="auto"/>
            </w:tcBorders>
            <w:shd w:val="clear" w:color="auto" w:fill="auto"/>
            <w:noWrap/>
            <w:hideMark/>
          </w:tcPr>
          <w:p w14:paraId="5C7FBC45" w14:textId="3F01D689"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258 824</w:t>
            </w:r>
          </w:p>
        </w:tc>
      </w:tr>
      <w:tr w:rsidR="00BF76FB" w:rsidRPr="007D74AC" w14:paraId="01AE99B7"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1908BCF8"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1.1.1.5.</w:t>
            </w:r>
          </w:p>
        </w:tc>
        <w:tc>
          <w:tcPr>
            <w:tcW w:w="1619" w:type="dxa"/>
            <w:tcBorders>
              <w:top w:val="nil"/>
              <w:left w:val="nil"/>
              <w:bottom w:val="single" w:sz="4" w:space="0" w:color="auto"/>
              <w:right w:val="single" w:sz="4" w:space="0" w:color="auto"/>
            </w:tcBorders>
            <w:shd w:val="clear" w:color="auto" w:fill="auto"/>
            <w:noWrap/>
            <w:hideMark/>
          </w:tcPr>
          <w:p w14:paraId="7F4633C2"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 xml:space="preserve">Latvijas </w:t>
            </w:r>
            <w:proofErr w:type="spellStart"/>
            <w:r w:rsidRPr="007D74AC">
              <w:rPr>
                <w:rFonts w:ascii="Times New Roman" w:eastAsia="Times New Roman" w:hAnsi="Times New Roman" w:cs="Times New Roman"/>
                <w:color w:val="000000"/>
                <w:sz w:val="16"/>
                <w:szCs w:val="16"/>
                <w:lang w:val="en-GB" w:eastAsia="en-GB" w:bidi="ne-NP"/>
              </w:rPr>
              <w:t>pilnvērtīga</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dalība</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Apvārsnis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Eiropa</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programmā</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tajā</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skaitā</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nodrošinot</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kompleksu</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atbalsta</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instrumentu</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klāstu</w:t>
            </w:r>
            <w:proofErr w:type="spellEnd"/>
            <w:r w:rsidRPr="007D74AC">
              <w:rPr>
                <w:rFonts w:ascii="Times New Roman" w:eastAsia="Times New Roman" w:hAnsi="Times New Roman" w:cs="Times New Roman"/>
                <w:color w:val="000000"/>
                <w:sz w:val="16"/>
                <w:szCs w:val="16"/>
                <w:lang w:val="en-GB" w:eastAsia="en-GB" w:bidi="ne-NP"/>
              </w:rPr>
              <w:t xml:space="preserve"> un </w:t>
            </w:r>
            <w:proofErr w:type="spellStart"/>
            <w:r w:rsidRPr="007D74AC">
              <w:rPr>
                <w:rFonts w:ascii="Times New Roman" w:eastAsia="Times New Roman" w:hAnsi="Times New Roman" w:cs="Times New Roman"/>
                <w:color w:val="000000"/>
                <w:sz w:val="16"/>
                <w:szCs w:val="16"/>
                <w:lang w:val="en-GB" w:eastAsia="en-GB" w:bidi="ne-NP"/>
              </w:rPr>
              <w:t>sasaisti</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ar</w:t>
            </w:r>
            <w:proofErr w:type="spellEnd"/>
            <w:r w:rsidRPr="007D74AC">
              <w:rPr>
                <w:rFonts w:ascii="Times New Roman" w:eastAsia="Times New Roman" w:hAnsi="Times New Roman" w:cs="Times New Roman"/>
                <w:color w:val="000000"/>
                <w:sz w:val="16"/>
                <w:szCs w:val="16"/>
                <w:lang w:val="en-GB" w:eastAsia="en-GB" w:bidi="ne-NP"/>
              </w:rPr>
              <w:t xml:space="preserve"> RIS3 </w:t>
            </w:r>
            <w:proofErr w:type="spellStart"/>
            <w:r w:rsidRPr="007D74AC">
              <w:rPr>
                <w:rFonts w:ascii="Times New Roman" w:eastAsia="Times New Roman" w:hAnsi="Times New Roman" w:cs="Times New Roman"/>
                <w:color w:val="000000"/>
                <w:sz w:val="16"/>
                <w:szCs w:val="16"/>
                <w:lang w:val="en-GB" w:eastAsia="en-GB" w:bidi="ne-NP"/>
              </w:rPr>
              <w:t>specializācijas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jomu</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attīstīšanu</w:t>
            </w:r>
            <w:proofErr w:type="spellEnd"/>
          </w:p>
        </w:tc>
        <w:tc>
          <w:tcPr>
            <w:tcW w:w="688" w:type="dxa"/>
            <w:tcBorders>
              <w:top w:val="nil"/>
              <w:left w:val="nil"/>
              <w:bottom w:val="single" w:sz="4" w:space="0" w:color="auto"/>
              <w:right w:val="single" w:sz="4" w:space="0" w:color="auto"/>
            </w:tcBorders>
            <w:shd w:val="clear" w:color="auto" w:fill="auto"/>
            <w:noWrap/>
            <w:hideMark/>
          </w:tcPr>
          <w:p w14:paraId="433C861F"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03F23BCA"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7EEC76C4" w14:textId="69FC5F9D"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67 840 419</w:t>
            </w:r>
          </w:p>
        </w:tc>
        <w:tc>
          <w:tcPr>
            <w:tcW w:w="1007" w:type="dxa"/>
            <w:tcBorders>
              <w:top w:val="nil"/>
              <w:left w:val="nil"/>
              <w:bottom w:val="single" w:sz="4" w:space="0" w:color="auto"/>
              <w:right w:val="single" w:sz="4" w:space="0" w:color="auto"/>
            </w:tcBorders>
            <w:shd w:val="clear" w:color="auto" w:fill="auto"/>
            <w:noWrap/>
            <w:hideMark/>
          </w:tcPr>
          <w:p w14:paraId="50953ADB" w14:textId="4D585BB6"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9</w:t>
            </w:r>
          </w:p>
        </w:tc>
        <w:tc>
          <w:tcPr>
            <w:tcW w:w="1043" w:type="dxa"/>
            <w:tcBorders>
              <w:top w:val="nil"/>
              <w:left w:val="nil"/>
              <w:bottom w:val="single" w:sz="4" w:space="0" w:color="auto"/>
              <w:right w:val="single" w:sz="4" w:space="0" w:color="auto"/>
            </w:tcBorders>
            <w:shd w:val="clear" w:color="auto" w:fill="auto"/>
            <w:noWrap/>
            <w:hideMark/>
          </w:tcPr>
          <w:p w14:paraId="07FFD4EE" w14:textId="4923B0B5"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3 392 021</w:t>
            </w:r>
          </w:p>
        </w:tc>
        <w:tc>
          <w:tcPr>
            <w:tcW w:w="1007" w:type="dxa"/>
            <w:tcBorders>
              <w:top w:val="nil"/>
              <w:left w:val="nil"/>
              <w:bottom w:val="single" w:sz="4" w:space="0" w:color="auto"/>
              <w:right w:val="single" w:sz="4" w:space="0" w:color="auto"/>
            </w:tcBorders>
            <w:shd w:val="clear" w:color="auto" w:fill="auto"/>
            <w:noWrap/>
            <w:hideMark/>
          </w:tcPr>
          <w:p w14:paraId="7C985B1D" w14:textId="7FCD6448"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10</w:t>
            </w:r>
          </w:p>
        </w:tc>
        <w:tc>
          <w:tcPr>
            <w:tcW w:w="1043" w:type="dxa"/>
            <w:tcBorders>
              <w:top w:val="nil"/>
              <w:left w:val="nil"/>
              <w:bottom w:val="single" w:sz="4" w:space="0" w:color="auto"/>
              <w:right w:val="single" w:sz="4" w:space="0" w:color="auto"/>
            </w:tcBorders>
            <w:shd w:val="clear" w:color="auto" w:fill="auto"/>
            <w:noWrap/>
            <w:hideMark/>
          </w:tcPr>
          <w:p w14:paraId="7BEC71A0" w14:textId="103493CB"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3 392 021</w:t>
            </w:r>
          </w:p>
        </w:tc>
        <w:tc>
          <w:tcPr>
            <w:tcW w:w="1007" w:type="dxa"/>
            <w:tcBorders>
              <w:top w:val="nil"/>
              <w:left w:val="nil"/>
              <w:bottom w:val="single" w:sz="4" w:space="0" w:color="auto"/>
              <w:right w:val="single" w:sz="4" w:space="0" w:color="auto"/>
            </w:tcBorders>
            <w:shd w:val="clear" w:color="auto" w:fill="auto"/>
            <w:noWrap/>
            <w:hideMark/>
          </w:tcPr>
          <w:p w14:paraId="38CFFE56" w14:textId="1AD40018"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1E5D02C9" w14:textId="6EEFD504"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30 528 189</w:t>
            </w:r>
          </w:p>
        </w:tc>
        <w:tc>
          <w:tcPr>
            <w:tcW w:w="1007" w:type="dxa"/>
            <w:tcBorders>
              <w:top w:val="nil"/>
              <w:left w:val="nil"/>
              <w:bottom w:val="single" w:sz="4" w:space="0" w:color="auto"/>
              <w:right w:val="single" w:sz="4" w:space="0" w:color="auto"/>
            </w:tcBorders>
            <w:shd w:val="clear" w:color="auto" w:fill="auto"/>
            <w:noWrap/>
            <w:hideMark/>
          </w:tcPr>
          <w:p w14:paraId="71408ED1" w14:textId="07258A55"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54B3D1CC" w14:textId="064793B7"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30 528 188</w:t>
            </w:r>
          </w:p>
        </w:tc>
        <w:tc>
          <w:tcPr>
            <w:tcW w:w="1007" w:type="dxa"/>
            <w:tcBorders>
              <w:top w:val="nil"/>
              <w:left w:val="nil"/>
              <w:bottom w:val="single" w:sz="4" w:space="0" w:color="auto"/>
              <w:right w:val="single" w:sz="4" w:space="0" w:color="auto"/>
            </w:tcBorders>
            <w:shd w:val="clear" w:color="auto" w:fill="auto"/>
            <w:noWrap/>
            <w:hideMark/>
          </w:tcPr>
          <w:p w14:paraId="11847247" w14:textId="60ADAFF3"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120C83D" w14:textId="01F0A7F0"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r>
      <w:tr w:rsidR="00BF76FB" w:rsidRPr="007D74AC" w14:paraId="410A33C5"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224BB4E2"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1.1.1.6.</w:t>
            </w:r>
          </w:p>
        </w:tc>
        <w:tc>
          <w:tcPr>
            <w:tcW w:w="1619" w:type="dxa"/>
            <w:tcBorders>
              <w:top w:val="nil"/>
              <w:left w:val="nil"/>
              <w:bottom w:val="single" w:sz="4" w:space="0" w:color="auto"/>
              <w:right w:val="single" w:sz="4" w:space="0" w:color="auto"/>
            </w:tcBorders>
            <w:shd w:val="clear" w:color="auto" w:fill="auto"/>
            <w:noWrap/>
            <w:hideMark/>
          </w:tcPr>
          <w:p w14:paraId="4D670CCF"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proofErr w:type="spellStart"/>
            <w:r w:rsidRPr="007D74AC">
              <w:rPr>
                <w:rFonts w:ascii="Times New Roman" w:eastAsia="Times New Roman" w:hAnsi="Times New Roman" w:cs="Times New Roman"/>
                <w:color w:val="000000"/>
                <w:sz w:val="16"/>
                <w:szCs w:val="16"/>
                <w:lang w:val="en-GB" w:eastAsia="en-GB" w:bidi="ne-NP"/>
              </w:rPr>
              <w:t>Zinātniskās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darbības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digitalizācija</w:t>
            </w:r>
            <w:proofErr w:type="spellEnd"/>
            <w:r w:rsidRPr="007D74AC">
              <w:rPr>
                <w:rFonts w:ascii="Times New Roman" w:eastAsia="Times New Roman" w:hAnsi="Times New Roman" w:cs="Times New Roman"/>
                <w:color w:val="000000"/>
                <w:sz w:val="16"/>
                <w:szCs w:val="16"/>
                <w:lang w:val="en-GB" w:eastAsia="en-GB" w:bidi="ne-NP"/>
              </w:rPr>
              <w:t xml:space="preserve"> </w:t>
            </w:r>
            <w:proofErr w:type="gramStart"/>
            <w:r w:rsidRPr="007D74AC">
              <w:rPr>
                <w:rFonts w:ascii="Times New Roman" w:eastAsia="Times New Roman" w:hAnsi="Times New Roman" w:cs="Times New Roman"/>
                <w:color w:val="000000"/>
                <w:sz w:val="16"/>
                <w:szCs w:val="16"/>
                <w:lang w:val="en-GB" w:eastAsia="en-GB" w:bidi="ne-NP"/>
              </w:rPr>
              <w:t xml:space="preserve">un  </w:t>
            </w:r>
            <w:proofErr w:type="spellStart"/>
            <w:r w:rsidRPr="007D74AC">
              <w:rPr>
                <w:rFonts w:ascii="Times New Roman" w:eastAsia="Times New Roman" w:hAnsi="Times New Roman" w:cs="Times New Roman"/>
                <w:color w:val="000000"/>
                <w:sz w:val="16"/>
                <w:szCs w:val="16"/>
                <w:lang w:val="en-GB" w:eastAsia="en-GB" w:bidi="ne-NP"/>
              </w:rPr>
              <w:t>dalība</w:t>
            </w:r>
            <w:proofErr w:type="spellEnd"/>
            <w:proofErr w:type="gram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Eiropas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Atvērtajā</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zinātnes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mākonī</w:t>
            </w:r>
            <w:proofErr w:type="spellEnd"/>
            <w:r w:rsidRPr="007D74AC">
              <w:rPr>
                <w:rFonts w:ascii="Times New Roman" w:eastAsia="Times New Roman" w:hAnsi="Times New Roman" w:cs="Times New Roman"/>
                <w:color w:val="000000"/>
                <w:sz w:val="16"/>
                <w:szCs w:val="16"/>
                <w:lang w:val="en-GB" w:eastAsia="en-GB" w:bidi="ne-NP"/>
              </w:rPr>
              <w:t xml:space="preserve"> (EOSC market place </w:t>
            </w:r>
            <w:proofErr w:type="spellStart"/>
            <w:r w:rsidRPr="007D74AC">
              <w:rPr>
                <w:rFonts w:ascii="Times New Roman" w:eastAsia="Times New Roman" w:hAnsi="Times New Roman" w:cs="Times New Roman"/>
                <w:color w:val="000000"/>
                <w:sz w:val="16"/>
                <w:szCs w:val="16"/>
                <w:lang w:val="en-GB" w:eastAsia="en-GB" w:bidi="ne-NP"/>
              </w:rPr>
              <w:t>pakalpojumu</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iegāde</w:t>
            </w:r>
            <w:proofErr w:type="spellEnd"/>
            <w:r w:rsidRPr="007D74AC">
              <w:rPr>
                <w:rFonts w:ascii="Times New Roman" w:eastAsia="Times New Roman" w:hAnsi="Times New Roman" w:cs="Times New Roman"/>
                <w:color w:val="000000"/>
                <w:sz w:val="16"/>
                <w:szCs w:val="16"/>
                <w:lang w:val="en-GB" w:eastAsia="en-GB" w:bidi="ne-NP"/>
              </w:rPr>
              <w:t>)</w:t>
            </w:r>
          </w:p>
        </w:tc>
        <w:tc>
          <w:tcPr>
            <w:tcW w:w="688" w:type="dxa"/>
            <w:tcBorders>
              <w:top w:val="nil"/>
              <w:left w:val="nil"/>
              <w:bottom w:val="single" w:sz="4" w:space="0" w:color="auto"/>
              <w:right w:val="single" w:sz="4" w:space="0" w:color="auto"/>
            </w:tcBorders>
            <w:shd w:val="clear" w:color="auto" w:fill="auto"/>
            <w:noWrap/>
            <w:hideMark/>
          </w:tcPr>
          <w:p w14:paraId="05632F5A"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491C547B"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5EE1C2C8" w14:textId="7D237C62"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18 487 501</w:t>
            </w:r>
          </w:p>
        </w:tc>
        <w:tc>
          <w:tcPr>
            <w:tcW w:w="1007" w:type="dxa"/>
            <w:tcBorders>
              <w:top w:val="nil"/>
              <w:left w:val="nil"/>
              <w:bottom w:val="single" w:sz="4" w:space="0" w:color="auto"/>
              <w:right w:val="single" w:sz="4" w:space="0" w:color="auto"/>
            </w:tcBorders>
            <w:shd w:val="clear" w:color="auto" w:fill="auto"/>
            <w:noWrap/>
            <w:hideMark/>
          </w:tcPr>
          <w:p w14:paraId="15FA532B" w14:textId="094104BB"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4</w:t>
            </w:r>
          </w:p>
        </w:tc>
        <w:tc>
          <w:tcPr>
            <w:tcW w:w="1043" w:type="dxa"/>
            <w:tcBorders>
              <w:top w:val="nil"/>
              <w:left w:val="nil"/>
              <w:bottom w:val="single" w:sz="4" w:space="0" w:color="auto"/>
              <w:right w:val="single" w:sz="4" w:space="0" w:color="auto"/>
            </w:tcBorders>
            <w:shd w:val="clear" w:color="auto" w:fill="auto"/>
            <w:noWrap/>
            <w:hideMark/>
          </w:tcPr>
          <w:p w14:paraId="3F554A4D" w14:textId="420AE196"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4 621 875</w:t>
            </w:r>
          </w:p>
        </w:tc>
        <w:tc>
          <w:tcPr>
            <w:tcW w:w="1007" w:type="dxa"/>
            <w:tcBorders>
              <w:top w:val="nil"/>
              <w:left w:val="nil"/>
              <w:bottom w:val="single" w:sz="4" w:space="0" w:color="auto"/>
              <w:right w:val="single" w:sz="4" w:space="0" w:color="auto"/>
            </w:tcBorders>
            <w:shd w:val="clear" w:color="auto" w:fill="auto"/>
            <w:noWrap/>
            <w:hideMark/>
          </w:tcPr>
          <w:p w14:paraId="46102FDC" w14:textId="78594CAD"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8</w:t>
            </w:r>
          </w:p>
        </w:tc>
        <w:tc>
          <w:tcPr>
            <w:tcW w:w="1043" w:type="dxa"/>
            <w:tcBorders>
              <w:top w:val="nil"/>
              <w:left w:val="nil"/>
              <w:bottom w:val="single" w:sz="4" w:space="0" w:color="auto"/>
              <w:right w:val="single" w:sz="4" w:space="0" w:color="auto"/>
            </w:tcBorders>
            <w:shd w:val="clear" w:color="auto" w:fill="auto"/>
            <w:noWrap/>
            <w:hideMark/>
          </w:tcPr>
          <w:p w14:paraId="7608D420" w14:textId="5C800194"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4 621 875</w:t>
            </w:r>
          </w:p>
        </w:tc>
        <w:tc>
          <w:tcPr>
            <w:tcW w:w="1007" w:type="dxa"/>
            <w:tcBorders>
              <w:top w:val="nil"/>
              <w:left w:val="nil"/>
              <w:bottom w:val="single" w:sz="4" w:space="0" w:color="auto"/>
              <w:right w:val="single" w:sz="4" w:space="0" w:color="auto"/>
            </w:tcBorders>
            <w:shd w:val="clear" w:color="auto" w:fill="auto"/>
            <w:noWrap/>
            <w:hideMark/>
          </w:tcPr>
          <w:p w14:paraId="4BBEBB39" w14:textId="0A957AF1"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6F214D40" w14:textId="6A168288"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2 310 938</w:t>
            </w:r>
          </w:p>
        </w:tc>
        <w:tc>
          <w:tcPr>
            <w:tcW w:w="1007" w:type="dxa"/>
            <w:tcBorders>
              <w:top w:val="nil"/>
              <w:left w:val="nil"/>
              <w:bottom w:val="single" w:sz="4" w:space="0" w:color="auto"/>
              <w:right w:val="single" w:sz="4" w:space="0" w:color="auto"/>
            </w:tcBorders>
            <w:shd w:val="clear" w:color="auto" w:fill="auto"/>
            <w:noWrap/>
            <w:hideMark/>
          </w:tcPr>
          <w:p w14:paraId="6B9D7E64" w14:textId="529E1DDA"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28</w:t>
            </w:r>
          </w:p>
        </w:tc>
        <w:tc>
          <w:tcPr>
            <w:tcW w:w="1043" w:type="dxa"/>
            <w:tcBorders>
              <w:top w:val="nil"/>
              <w:left w:val="nil"/>
              <w:bottom w:val="single" w:sz="4" w:space="0" w:color="auto"/>
              <w:right w:val="single" w:sz="4" w:space="0" w:color="auto"/>
            </w:tcBorders>
            <w:shd w:val="clear" w:color="auto" w:fill="auto"/>
            <w:noWrap/>
            <w:hideMark/>
          </w:tcPr>
          <w:p w14:paraId="1406C322" w14:textId="79677AFD"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4 621 875</w:t>
            </w:r>
          </w:p>
        </w:tc>
        <w:tc>
          <w:tcPr>
            <w:tcW w:w="1007" w:type="dxa"/>
            <w:tcBorders>
              <w:top w:val="nil"/>
              <w:left w:val="nil"/>
              <w:bottom w:val="single" w:sz="4" w:space="0" w:color="auto"/>
              <w:right w:val="single" w:sz="4" w:space="0" w:color="auto"/>
            </w:tcBorders>
            <w:shd w:val="clear" w:color="auto" w:fill="auto"/>
            <w:noWrap/>
            <w:hideMark/>
          </w:tcPr>
          <w:p w14:paraId="6278AC1E" w14:textId="48E1F32E"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4A6FE0A7" w14:textId="33F7FEED"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2 310 938</w:t>
            </w:r>
          </w:p>
        </w:tc>
      </w:tr>
      <w:tr w:rsidR="00BF76FB" w:rsidRPr="007D74AC" w14:paraId="538F2146"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F70E2E2"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1.1.1.7.</w:t>
            </w:r>
          </w:p>
        </w:tc>
        <w:tc>
          <w:tcPr>
            <w:tcW w:w="1619" w:type="dxa"/>
            <w:tcBorders>
              <w:top w:val="nil"/>
              <w:left w:val="nil"/>
              <w:bottom w:val="single" w:sz="4" w:space="0" w:color="auto"/>
              <w:right w:val="single" w:sz="4" w:space="0" w:color="auto"/>
            </w:tcBorders>
            <w:shd w:val="clear" w:color="auto" w:fill="auto"/>
            <w:noWrap/>
            <w:hideMark/>
          </w:tcPr>
          <w:p w14:paraId="68BCDB87"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proofErr w:type="spellStart"/>
            <w:r w:rsidRPr="007D74AC">
              <w:rPr>
                <w:rFonts w:ascii="Times New Roman" w:eastAsia="Times New Roman" w:hAnsi="Times New Roman" w:cs="Times New Roman"/>
                <w:color w:val="000000"/>
                <w:sz w:val="16"/>
                <w:szCs w:val="16"/>
                <w:lang w:val="en-GB" w:eastAsia="en-GB" w:bidi="ne-NP"/>
              </w:rPr>
              <w:t>Inovāciju</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granti</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studentiem</w:t>
            </w:r>
            <w:proofErr w:type="spellEnd"/>
          </w:p>
        </w:tc>
        <w:tc>
          <w:tcPr>
            <w:tcW w:w="688" w:type="dxa"/>
            <w:tcBorders>
              <w:top w:val="nil"/>
              <w:left w:val="nil"/>
              <w:bottom w:val="single" w:sz="4" w:space="0" w:color="auto"/>
              <w:right w:val="single" w:sz="4" w:space="0" w:color="auto"/>
            </w:tcBorders>
            <w:shd w:val="clear" w:color="auto" w:fill="auto"/>
            <w:noWrap/>
            <w:hideMark/>
          </w:tcPr>
          <w:p w14:paraId="303ECBAC"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74184219"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61ACB742" w14:textId="0C9404FB"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14 025 000</w:t>
            </w:r>
          </w:p>
        </w:tc>
        <w:tc>
          <w:tcPr>
            <w:tcW w:w="1007" w:type="dxa"/>
            <w:tcBorders>
              <w:top w:val="nil"/>
              <w:left w:val="nil"/>
              <w:bottom w:val="single" w:sz="4" w:space="0" w:color="auto"/>
              <w:right w:val="single" w:sz="4" w:space="0" w:color="auto"/>
            </w:tcBorders>
            <w:shd w:val="clear" w:color="auto" w:fill="auto"/>
            <w:noWrap/>
            <w:hideMark/>
          </w:tcPr>
          <w:p w14:paraId="39FF5AAF" w14:textId="166D0519"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1446C125" w14:textId="3431F80B"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3 155 625</w:t>
            </w:r>
          </w:p>
        </w:tc>
        <w:tc>
          <w:tcPr>
            <w:tcW w:w="1007" w:type="dxa"/>
            <w:tcBorders>
              <w:top w:val="nil"/>
              <w:left w:val="nil"/>
              <w:bottom w:val="single" w:sz="4" w:space="0" w:color="auto"/>
              <w:right w:val="single" w:sz="4" w:space="0" w:color="auto"/>
            </w:tcBorders>
            <w:shd w:val="clear" w:color="auto" w:fill="auto"/>
            <w:noWrap/>
            <w:hideMark/>
          </w:tcPr>
          <w:p w14:paraId="796C6C8C" w14:textId="7E9BB308"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8</w:t>
            </w:r>
          </w:p>
        </w:tc>
        <w:tc>
          <w:tcPr>
            <w:tcW w:w="1043" w:type="dxa"/>
            <w:tcBorders>
              <w:top w:val="nil"/>
              <w:left w:val="nil"/>
              <w:bottom w:val="single" w:sz="4" w:space="0" w:color="auto"/>
              <w:right w:val="single" w:sz="4" w:space="0" w:color="auto"/>
            </w:tcBorders>
            <w:shd w:val="clear" w:color="auto" w:fill="auto"/>
            <w:noWrap/>
            <w:hideMark/>
          </w:tcPr>
          <w:p w14:paraId="4F8D3B55" w14:textId="708BB470"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3 155 625</w:t>
            </w:r>
          </w:p>
        </w:tc>
        <w:tc>
          <w:tcPr>
            <w:tcW w:w="1007" w:type="dxa"/>
            <w:tcBorders>
              <w:top w:val="nil"/>
              <w:left w:val="nil"/>
              <w:bottom w:val="single" w:sz="4" w:space="0" w:color="auto"/>
              <w:right w:val="single" w:sz="4" w:space="0" w:color="auto"/>
            </w:tcBorders>
            <w:shd w:val="clear" w:color="auto" w:fill="auto"/>
            <w:noWrap/>
            <w:hideMark/>
          </w:tcPr>
          <w:p w14:paraId="782A0B1C" w14:textId="2B84B856"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7FF92C33" w14:textId="329E4E28"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3 155 625</w:t>
            </w:r>
          </w:p>
        </w:tc>
        <w:tc>
          <w:tcPr>
            <w:tcW w:w="1007" w:type="dxa"/>
            <w:tcBorders>
              <w:top w:val="nil"/>
              <w:left w:val="nil"/>
              <w:bottom w:val="single" w:sz="4" w:space="0" w:color="auto"/>
              <w:right w:val="single" w:sz="4" w:space="0" w:color="auto"/>
            </w:tcBorders>
            <w:shd w:val="clear" w:color="auto" w:fill="auto"/>
            <w:noWrap/>
            <w:hideMark/>
          </w:tcPr>
          <w:p w14:paraId="1521AAA0" w14:textId="0DB69ABF"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28</w:t>
            </w:r>
          </w:p>
        </w:tc>
        <w:tc>
          <w:tcPr>
            <w:tcW w:w="1043" w:type="dxa"/>
            <w:tcBorders>
              <w:top w:val="nil"/>
              <w:left w:val="nil"/>
              <w:bottom w:val="single" w:sz="4" w:space="0" w:color="auto"/>
              <w:right w:val="single" w:sz="4" w:space="0" w:color="auto"/>
            </w:tcBorders>
            <w:shd w:val="clear" w:color="auto" w:fill="auto"/>
            <w:noWrap/>
            <w:hideMark/>
          </w:tcPr>
          <w:p w14:paraId="479B669C" w14:textId="16481A22"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3 155 625</w:t>
            </w:r>
          </w:p>
        </w:tc>
        <w:tc>
          <w:tcPr>
            <w:tcW w:w="1007" w:type="dxa"/>
            <w:tcBorders>
              <w:top w:val="nil"/>
              <w:left w:val="nil"/>
              <w:bottom w:val="single" w:sz="4" w:space="0" w:color="auto"/>
              <w:right w:val="single" w:sz="4" w:space="0" w:color="auto"/>
            </w:tcBorders>
            <w:shd w:val="clear" w:color="auto" w:fill="auto"/>
            <w:noWrap/>
            <w:hideMark/>
          </w:tcPr>
          <w:p w14:paraId="2FBC4823" w14:textId="33910B54"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29</w:t>
            </w:r>
          </w:p>
        </w:tc>
        <w:tc>
          <w:tcPr>
            <w:tcW w:w="1043" w:type="dxa"/>
            <w:tcBorders>
              <w:top w:val="nil"/>
              <w:left w:val="nil"/>
              <w:bottom w:val="single" w:sz="4" w:space="0" w:color="auto"/>
              <w:right w:val="single" w:sz="4" w:space="0" w:color="auto"/>
            </w:tcBorders>
            <w:shd w:val="clear" w:color="auto" w:fill="auto"/>
            <w:noWrap/>
            <w:hideMark/>
          </w:tcPr>
          <w:p w14:paraId="65283BE8" w14:textId="7EFEDE7D"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1 402 500</w:t>
            </w:r>
          </w:p>
        </w:tc>
      </w:tr>
      <w:tr w:rsidR="00BF76FB" w:rsidRPr="007D74AC" w14:paraId="694EC8D3"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4FC6D25"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1.1.1.8.</w:t>
            </w:r>
          </w:p>
        </w:tc>
        <w:tc>
          <w:tcPr>
            <w:tcW w:w="1619" w:type="dxa"/>
            <w:tcBorders>
              <w:top w:val="nil"/>
              <w:left w:val="nil"/>
              <w:bottom w:val="single" w:sz="4" w:space="0" w:color="auto"/>
              <w:right w:val="single" w:sz="4" w:space="0" w:color="auto"/>
            </w:tcBorders>
            <w:shd w:val="clear" w:color="auto" w:fill="auto"/>
            <w:noWrap/>
            <w:hideMark/>
          </w:tcPr>
          <w:p w14:paraId="52F401CD"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proofErr w:type="spellStart"/>
            <w:r w:rsidRPr="007D74AC">
              <w:rPr>
                <w:rFonts w:ascii="Times New Roman" w:eastAsia="Times New Roman" w:hAnsi="Times New Roman" w:cs="Times New Roman"/>
                <w:color w:val="000000"/>
                <w:sz w:val="16"/>
                <w:szCs w:val="16"/>
                <w:lang w:val="en-GB" w:eastAsia="en-GB" w:bidi="ne-NP"/>
              </w:rPr>
              <w:t>Doktorantūras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granti</w:t>
            </w:r>
            <w:proofErr w:type="spellEnd"/>
          </w:p>
        </w:tc>
        <w:tc>
          <w:tcPr>
            <w:tcW w:w="688" w:type="dxa"/>
            <w:tcBorders>
              <w:top w:val="nil"/>
              <w:left w:val="nil"/>
              <w:bottom w:val="single" w:sz="4" w:space="0" w:color="auto"/>
              <w:right w:val="single" w:sz="4" w:space="0" w:color="auto"/>
            </w:tcBorders>
            <w:shd w:val="clear" w:color="auto" w:fill="auto"/>
            <w:noWrap/>
            <w:hideMark/>
          </w:tcPr>
          <w:p w14:paraId="75F5FBBF"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78C7CC43"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3F42C8A" w14:textId="2CD45CC4"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16 269 000</w:t>
            </w:r>
          </w:p>
        </w:tc>
        <w:tc>
          <w:tcPr>
            <w:tcW w:w="1007" w:type="dxa"/>
            <w:tcBorders>
              <w:top w:val="nil"/>
              <w:left w:val="nil"/>
              <w:bottom w:val="single" w:sz="4" w:space="0" w:color="auto"/>
              <w:right w:val="single" w:sz="4" w:space="0" w:color="auto"/>
            </w:tcBorders>
            <w:shd w:val="clear" w:color="auto" w:fill="auto"/>
            <w:noWrap/>
            <w:hideMark/>
          </w:tcPr>
          <w:p w14:paraId="695D69E5" w14:textId="5C584A9B"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3FB46622" w14:textId="3B8C59C6"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8 134 500</w:t>
            </w:r>
          </w:p>
        </w:tc>
        <w:tc>
          <w:tcPr>
            <w:tcW w:w="1007" w:type="dxa"/>
            <w:tcBorders>
              <w:top w:val="nil"/>
              <w:left w:val="nil"/>
              <w:bottom w:val="single" w:sz="4" w:space="0" w:color="auto"/>
              <w:right w:val="single" w:sz="4" w:space="0" w:color="auto"/>
            </w:tcBorders>
            <w:shd w:val="clear" w:color="auto" w:fill="auto"/>
            <w:noWrap/>
            <w:hideMark/>
          </w:tcPr>
          <w:p w14:paraId="06BF0E6E" w14:textId="0F4FE898"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6A9950E6" w14:textId="59C3FA76"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8 134 500</w:t>
            </w:r>
          </w:p>
        </w:tc>
        <w:tc>
          <w:tcPr>
            <w:tcW w:w="1007" w:type="dxa"/>
            <w:tcBorders>
              <w:top w:val="nil"/>
              <w:left w:val="nil"/>
              <w:bottom w:val="single" w:sz="4" w:space="0" w:color="auto"/>
              <w:right w:val="single" w:sz="4" w:space="0" w:color="auto"/>
            </w:tcBorders>
            <w:shd w:val="clear" w:color="auto" w:fill="auto"/>
            <w:noWrap/>
            <w:hideMark/>
          </w:tcPr>
          <w:p w14:paraId="16C17793" w14:textId="2EE077EB"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17150B16" w14:textId="69DF4B2E"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1D5705D0" w14:textId="51DEFD1D"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E86C698" w14:textId="2C10E79D"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037D7A62" w14:textId="493F3004" w:rsidR="00BF76FB" w:rsidRPr="00BF76FB"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FCCA7D0" w14:textId="64BDE113" w:rsidR="00BF76FB" w:rsidRPr="00BF76FB" w:rsidRDefault="00BF76FB" w:rsidP="00BF76FB">
            <w:pPr>
              <w:spacing w:after="0" w:line="240" w:lineRule="auto"/>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 </w:t>
            </w:r>
          </w:p>
        </w:tc>
      </w:tr>
      <w:tr w:rsidR="00BF76FB" w:rsidRPr="007D74AC" w14:paraId="6B2C092D" w14:textId="77777777" w:rsidTr="007D74A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0E7B4702"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1.1.1.9.</w:t>
            </w:r>
          </w:p>
        </w:tc>
        <w:tc>
          <w:tcPr>
            <w:tcW w:w="1619" w:type="dxa"/>
            <w:tcBorders>
              <w:top w:val="nil"/>
              <w:left w:val="nil"/>
              <w:bottom w:val="single" w:sz="4" w:space="0" w:color="auto"/>
              <w:right w:val="single" w:sz="4" w:space="0" w:color="auto"/>
            </w:tcBorders>
            <w:shd w:val="clear" w:color="auto" w:fill="auto"/>
            <w:noWrap/>
            <w:hideMark/>
          </w:tcPr>
          <w:p w14:paraId="2A5FD0F9" w14:textId="77777777" w:rsidR="00BF76FB" w:rsidRPr="007D74AC" w:rsidRDefault="00BF76FB" w:rsidP="00BF76FB">
            <w:pPr>
              <w:spacing w:after="0" w:line="240" w:lineRule="auto"/>
              <w:rPr>
                <w:rFonts w:ascii="Times New Roman" w:eastAsia="Times New Roman" w:hAnsi="Times New Roman" w:cs="Times New Roman"/>
                <w:color w:val="000000"/>
                <w:sz w:val="16"/>
                <w:szCs w:val="16"/>
                <w:lang w:val="en-GB" w:eastAsia="en-GB" w:bidi="ne-NP"/>
              </w:rPr>
            </w:pPr>
            <w:proofErr w:type="spellStart"/>
            <w:r w:rsidRPr="007D74AC">
              <w:rPr>
                <w:rFonts w:ascii="Times New Roman" w:eastAsia="Times New Roman" w:hAnsi="Times New Roman" w:cs="Times New Roman"/>
                <w:color w:val="000000"/>
                <w:sz w:val="16"/>
                <w:szCs w:val="16"/>
                <w:lang w:val="en-GB" w:eastAsia="en-GB" w:bidi="ne-NP"/>
              </w:rPr>
              <w:t>Pēcdoktorantūras</w:t>
            </w:r>
            <w:proofErr w:type="spellEnd"/>
            <w:r w:rsidRPr="007D74AC">
              <w:rPr>
                <w:rFonts w:ascii="Times New Roman" w:eastAsia="Times New Roman" w:hAnsi="Times New Roman" w:cs="Times New Roman"/>
                <w:color w:val="000000"/>
                <w:sz w:val="16"/>
                <w:szCs w:val="16"/>
                <w:lang w:val="en-GB" w:eastAsia="en-GB" w:bidi="ne-NP"/>
              </w:rPr>
              <w:t xml:space="preserve"> </w:t>
            </w:r>
            <w:proofErr w:type="spellStart"/>
            <w:r w:rsidRPr="007D74AC">
              <w:rPr>
                <w:rFonts w:ascii="Times New Roman" w:eastAsia="Times New Roman" w:hAnsi="Times New Roman" w:cs="Times New Roman"/>
                <w:color w:val="000000"/>
                <w:sz w:val="16"/>
                <w:szCs w:val="16"/>
                <w:lang w:val="en-GB" w:eastAsia="en-GB" w:bidi="ne-NP"/>
              </w:rPr>
              <w:t>pētījumi</w:t>
            </w:r>
            <w:proofErr w:type="spellEnd"/>
          </w:p>
        </w:tc>
        <w:tc>
          <w:tcPr>
            <w:tcW w:w="688" w:type="dxa"/>
            <w:tcBorders>
              <w:top w:val="nil"/>
              <w:left w:val="nil"/>
              <w:bottom w:val="single" w:sz="4" w:space="0" w:color="auto"/>
              <w:right w:val="single" w:sz="4" w:space="0" w:color="auto"/>
            </w:tcBorders>
            <w:shd w:val="clear" w:color="auto" w:fill="auto"/>
            <w:noWrap/>
            <w:hideMark/>
          </w:tcPr>
          <w:p w14:paraId="38E0B19B"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1F0A5649" w14:textId="77777777" w:rsidR="00BF76FB" w:rsidRPr="007D74AC" w:rsidRDefault="00BF76FB" w:rsidP="00BF76FB">
            <w:pPr>
              <w:spacing w:after="0" w:line="240" w:lineRule="auto"/>
              <w:jc w:val="center"/>
              <w:rPr>
                <w:rFonts w:ascii="Times New Roman" w:eastAsia="Times New Roman" w:hAnsi="Times New Roman" w:cs="Times New Roman"/>
                <w:color w:val="000000"/>
                <w:sz w:val="16"/>
                <w:szCs w:val="16"/>
                <w:lang w:val="en-GB" w:eastAsia="en-GB" w:bidi="ne-NP"/>
              </w:rPr>
            </w:pPr>
            <w:r w:rsidRPr="007D74AC">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6A9CF33A" w14:textId="6EA0797B"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29 580 000</w:t>
            </w:r>
          </w:p>
        </w:tc>
        <w:tc>
          <w:tcPr>
            <w:tcW w:w="1007" w:type="dxa"/>
            <w:tcBorders>
              <w:top w:val="nil"/>
              <w:left w:val="nil"/>
              <w:bottom w:val="single" w:sz="4" w:space="0" w:color="auto"/>
              <w:right w:val="single" w:sz="4" w:space="0" w:color="auto"/>
            </w:tcBorders>
            <w:shd w:val="clear" w:color="auto" w:fill="auto"/>
            <w:noWrap/>
            <w:hideMark/>
          </w:tcPr>
          <w:p w14:paraId="222BE791" w14:textId="3BBD9329"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9</w:t>
            </w:r>
          </w:p>
        </w:tc>
        <w:tc>
          <w:tcPr>
            <w:tcW w:w="1043" w:type="dxa"/>
            <w:tcBorders>
              <w:top w:val="nil"/>
              <w:left w:val="nil"/>
              <w:bottom w:val="single" w:sz="4" w:space="0" w:color="auto"/>
              <w:right w:val="single" w:sz="4" w:space="0" w:color="auto"/>
            </w:tcBorders>
            <w:shd w:val="clear" w:color="auto" w:fill="auto"/>
            <w:noWrap/>
            <w:hideMark/>
          </w:tcPr>
          <w:p w14:paraId="095F63F2" w14:textId="4DC68799"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1 479 000</w:t>
            </w:r>
          </w:p>
        </w:tc>
        <w:tc>
          <w:tcPr>
            <w:tcW w:w="1007" w:type="dxa"/>
            <w:tcBorders>
              <w:top w:val="nil"/>
              <w:left w:val="nil"/>
              <w:bottom w:val="single" w:sz="4" w:space="0" w:color="auto"/>
              <w:right w:val="single" w:sz="4" w:space="0" w:color="auto"/>
            </w:tcBorders>
            <w:shd w:val="clear" w:color="auto" w:fill="auto"/>
            <w:noWrap/>
            <w:hideMark/>
          </w:tcPr>
          <w:p w14:paraId="2B89EC38" w14:textId="216DD3B4"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10</w:t>
            </w:r>
          </w:p>
        </w:tc>
        <w:tc>
          <w:tcPr>
            <w:tcW w:w="1043" w:type="dxa"/>
            <w:tcBorders>
              <w:top w:val="nil"/>
              <w:left w:val="nil"/>
              <w:bottom w:val="single" w:sz="4" w:space="0" w:color="auto"/>
              <w:right w:val="single" w:sz="4" w:space="0" w:color="auto"/>
            </w:tcBorders>
            <w:shd w:val="clear" w:color="auto" w:fill="auto"/>
            <w:noWrap/>
            <w:hideMark/>
          </w:tcPr>
          <w:p w14:paraId="6537E7C0" w14:textId="1ED069EC"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1 479 000</w:t>
            </w:r>
          </w:p>
        </w:tc>
        <w:tc>
          <w:tcPr>
            <w:tcW w:w="1007" w:type="dxa"/>
            <w:tcBorders>
              <w:top w:val="nil"/>
              <w:left w:val="nil"/>
              <w:bottom w:val="single" w:sz="4" w:space="0" w:color="auto"/>
              <w:right w:val="single" w:sz="4" w:space="0" w:color="auto"/>
            </w:tcBorders>
            <w:shd w:val="clear" w:color="auto" w:fill="auto"/>
            <w:noWrap/>
            <w:hideMark/>
          </w:tcPr>
          <w:p w14:paraId="2CC28E90" w14:textId="09404D5B"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11</w:t>
            </w:r>
          </w:p>
        </w:tc>
        <w:tc>
          <w:tcPr>
            <w:tcW w:w="1043" w:type="dxa"/>
            <w:tcBorders>
              <w:top w:val="nil"/>
              <w:left w:val="nil"/>
              <w:bottom w:val="single" w:sz="4" w:space="0" w:color="auto"/>
              <w:right w:val="single" w:sz="4" w:space="0" w:color="auto"/>
            </w:tcBorders>
            <w:shd w:val="clear" w:color="auto" w:fill="auto"/>
            <w:noWrap/>
            <w:hideMark/>
          </w:tcPr>
          <w:p w14:paraId="3EE3EDAC" w14:textId="0B02D57F"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11 832 000</w:t>
            </w:r>
          </w:p>
        </w:tc>
        <w:tc>
          <w:tcPr>
            <w:tcW w:w="1007" w:type="dxa"/>
            <w:tcBorders>
              <w:top w:val="nil"/>
              <w:left w:val="nil"/>
              <w:bottom w:val="single" w:sz="4" w:space="0" w:color="auto"/>
              <w:right w:val="single" w:sz="4" w:space="0" w:color="auto"/>
            </w:tcBorders>
            <w:shd w:val="clear" w:color="auto" w:fill="auto"/>
            <w:noWrap/>
            <w:hideMark/>
          </w:tcPr>
          <w:p w14:paraId="4921C4A3" w14:textId="55D2FA13"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12</w:t>
            </w:r>
          </w:p>
        </w:tc>
        <w:tc>
          <w:tcPr>
            <w:tcW w:w="1043" w:type="dxa"/>
            <w:tcBorders>
              <w:top w:val="nil"/>
              <w:left w:val="nil"/>
              <w:bottom w:val="single" w:sz="4" w:space="0" w:color="auto"/>
              <w:right w:val="single" w:sz="4" w:space="0" w:color="auto"/>
            </w:tcBorders>
            <w:shd w:val="clear" w:color="auto" w:fill="auto"/>
            <w:noWrap/>
            <w:hideMark/>
          </w:tcPr>
          <w:p w14:paraId="2F81834C" w14:textId="71F21697"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13 311 000</w:t>
            </w:r>
          </w:p>
        </w:tc>
        <w:tc>
          <w:tcPr>
            <w:tcW w:w="1007" w:type="dxa"/>
            <w:tcBorders>
              <w:top w:val="nil"/>
              <w:left w:val="nil"/>
              <w:bottom w:val="single" w:sz="4" w:space="0" w:color="auto"/>
              <w:right w:val="single" w:sz="4" w:space="0" w:color="auto"/>
            </w:tcBorders>
            <w:shd w:val="clear" w:color="auto" w:fill="auto"/>
            <w:noWrap/>
            <w:hideMark/>
          </w:tcPr>
          <w:p w14:paraId="1696CB89" w14:textId="5A43AAB3" w:rsidR="00BF76FB" w:rsidRPr="00BF76FB" w:rsidRDefault="00BF76FB" w:rsidP="00BF76FB">
            <w:pPr>
              <w:spacing w:after="0" w:line="240" w:lineRule="auto"/>
              <w:jc w:val="center"/>
              <w:rPr>
                <w:rFonts w:ascii="Times New Roman" w:eastAsia="Times New Roman" w:hAnsi="Times New Roman" w:cs="Times New Roman"/>
                <w:b/>
                <w:bCs/>
                <w:color w:val="00B050"/>
                <w:sz w:val="16"/>
                <w:szCs w:val="16"/>
                <w:lang w:val="en-GB" w:eastAsia="en-GB" w:bidi="ne-NP"/>
              </w:rPr>
            </w:pPr>
            <w:r w:rsidRPr="00BF76FB">
              <w:rPr>
                <w:rFonts w:ascii="Times New Roman" w:hAnsi="Times New Roman" w:cs="Times New Roman"/>
                <w:b/>
                <w:bCs/>
                <w:color w:val="00B050"/>
                <w:sz w:val="18"/>
                <w:szCs w:val="18"/>
              </w:rPr>
              <w:t>29</w:t>
            </w:r>
          </w:p>
        </w:tc>
        <w:tc>
          <w:tcPr>
            <w:tcW w:w="1043" w:type="dxa"/>
            <w:tcBorders>
              <w:top w:val="nil"/>
              <w:left w:val="nil"/>
              <w:bottom w:val="single" w:sz="4" w:space="0" w:color="auto"/>
              <w:right w:val="single" w:sz="4" w:space="0" w:color="auto"/>
            </w:tcBorders>
            <w:shd w:val="clear" w:color="auto" w:fill="auto"/>
            <w:noWrap/>
            <w:hideMark/>
          </w:tcPr>
          <w:p w14:paraId="320B00D7" w14:textId="04F8D561" w:rsidR="00BF76FB" w:rsidRPr="00BF76FB" w:rsidRDefault="00BF76FB" w:rsidP="00BF76FB">
            <w:pPr>
              <w:spacing w:after="0" w:line="240" w:lineRule="auto"/>
              <w:jc w:val="right"/>
              <w:rPr>
                <w:rFonts w:ascii="Times New Roman" w:eastAsia="Times New Roman" w:hAnsi="Times New Roman" w:cs="Times New Roman"/>
                <w:color w:val="000000"/>
                <w:sz w:val="16"/>
                <w:szCs w:val="16"/>
                <w:lang w:val="en-GB" w:eastAsia="en-GB" w:bidi="ne-NP"/>
              </w:rPr>
            </w:pPr>
            <w:r w:rsidRPr="00BF76FB">
              <w:rPr>
                <w:rFonts w:ascii="Times New Roman" w:hAnsi="Times New Roman" w:cs="Times New Roman"/>
                <w:color w:val="000000"/>
                <w:sz w:val="18"/>
                <w:szCs w:val="18"/>
              </w:rPr>
              <w:t>1 479 000</w:t>
            </w:r>
          </w:p>
        </w:tc>
      </w:tr>
    </w:tbl>
    <w:p w14:paraId="14270C97" w14:textId="77777777" w:rsidR="007B61DB" w:rsidRDefault="007B61DB">
      <w:pPr>
        <w:spacing w:after="0" w:line="240" w:lineRule="auto"/>
        <w:jc w:val="both"/>
        <w:rPr>
          <w:rFonts w:ascii="Times New Roman" w:eastAsia="Times New Roman" w:hAnsi="Times New Roman" w:cs="Times New Roman"/>
          <w:sz w:val="20"/>
          <w:szCs w:val="20"/>
        </w:rPr>
      </w:pPr>
    </w:p>
    <w:p w14:paraId="53C85210" w14:textId="77777777" w:rsidR="007B61DB" w:rsidRDefault="007B61DB">
      <w:pPr>
        <w:spacing w:after="0" w:line="240" w:lineRule="auto"/>
        <w:jc w:val="both"/>
        <w:rPr>
          <w:rFonts w:ascii="Times New Roman" w:eastAsia="Times New Roman" w:hAnsi="Times New Roman" w:cs="Times New Roman"/>
          <w:sz w:val="20"/>
          <w:szCs w:val="20"/>
        </w:rPr>
      </w:pPr>
      <w:bookmarkStart w:id="3" w:name="_heading=h.30j0zll" w:colFirst="0" w:colLast="0"/>
      <w:bookmarkEnd w:id="3"/>
    </w:p>
    <w:sectPr w:rsidR="007B61DB" w:rsidSect="000C4733">
      <w:pgSz w:w="16838" w:h="11906" w:orient="landscape"/>
      <w:pgMar w:top="1134" w:right="851" w:bottom="851" w:left="851"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392EE" w14:textId="77777777" w:rsidR="005B735F" w:rsidRDefault="005B735F">
      <w:pPr>
        <w:spacing w:after="0" w:line="240" w:lineRule="auto"/>
      </w:pPr>
      <w:r>
        <w:separator/>
      </w:r>
    </w:p>
  </w:endnote>
  <w:endnote w:type="continuationSeparator" w:id="0">
    <w:p w14:paraId="45CAC0F6" w14:textId="77777777" w:rsidR="005B735F" w:rsidRDefault="005B7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183B8" w14:textId="5540FE54" w:rsidR="00587309" w:rsidRDefault="00587309">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D74AC">
      <w:rPr>
        <w:noProof/>
        <w:color w:val="000000"/>
      </w:rPr>
      <w:t>1</w:t>
    </w:r>
    <w:r>
      <w:rPr>
        <w:color w:val="000000"/>
      </w:rPr>
      <w:fldChar w:fldCharType="end"/>
    </w:r>
  </w:p>
  <w:p w14:paraId="10E7112C" w14:textId="77777777" w:rsidR="00587309" w:rsidRDefault="00587309">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A233" w14:textId="77777777" w:rsidR="005B735F" w:rsidRDefault="005B735F">
      <w:pPr>
        <w:spacing w:after="0" w:line="240" w:lineRule="auto"/>
      </w:pPr>
      <w:r>
        <w:separator/>
      </w:r>
    </w:p>
  </w:footnote>
  <w:footnote w:type="continuationSeparator" w:id="0">
    <w:p w14:paraId="6AF1C2D9" w14:textId="77777777" w:rsidR="005B735F" w:rsidRDefault="005B735F">
      <w:pPr>
        <w:spacing w:after="0" w:line="240" w:lineRule="auto"/>
      </w:pPr>
      <w:r>
        <w:continuationSeparator/>
      </w:r>
    </w:p>
  </w:footnote>
  <w:footnote w:id="1">
    <w:p w14:paraId="22BCD469"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12D7831"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3">
    <w:p w14:paraId="0868C48C"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3648F30C"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2">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
    <w:p w14:paraId="27A0D213"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6">
    <w:p w14:paraId="5FA7FE03"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4AC8B47F"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3">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10C14C33"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9">
    <w:p w14:paraId="6294EEC2"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06986517" w14:textId="77777777" w:rsidR="00587309" w:rsidRDefault="005873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efektīva sadarbība - ir sadarbība vismaz divu neatkarīgu pušu starpā, lai apmainītos ar zināšanām un tehnoloģiju, vai, lai sasniegtu kopēju mērķi, kura pamatā ir darba dalīšana, kad puses kopīgi nosaka sadarbības projekta darbības jomu, piedalās tā īstenošanā un sadala tā riskus, kā arī rezultātus.</w:t>
      </w:r>
    </w:p>
  </w:footnote>
  <w:footnote w:id="11">
    <w:p w14:paraId="1F6AEA51"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4">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63ABD96D"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13">
    <w:p w14:paraId="52C106AF"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522A4A7B"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5">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3B782188"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16">
    <w:p w14:paraId="0AAB37E0"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658B3B34"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xml:space="preserve">Personas, kurām ir nepieciešamās tehniskās zināšanas un pieredze vienā vai vairākās jomās un kuras zinātnieku vadībā piedalās zinātniskajā darbībā, veicot tehniskos uzdevumus. </w:t>
      </w:r>
    </w:p>
  </w:footnote>
  <w:footnote w:id="18">
    <w:p w14:paraId="296B27E3"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6">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9">
    <w:p w14:paraId="0EE5FBD2" w14:textId="77777777" w:rsidR="00587309" w:rsidRDefault="005873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20">
    <w:p w14:paraId="27FA5E4A" w14:textId="77777777" w:rsidR="00587309" w:rsidRDefault="005873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1">
    <w:p w14:paraId="00B8CC1A" w14:textId="77777777" w:rsidR="00587309" w:rsidRDefault="00587309" w:rsidP="00EE4E1C">
      <w:pPr>
        <w:pStyle w:val="FootnoteText"/>
      </w:pPr>
      <w:r>
        <w:rPr>
          <w:rStyle w:val="FootnoteReference"/>
        </w:rPr>
        <w:footnoteRef/>
      </w:r>
      <w:r>
        <w:t xml:space="preserve"> </w:t>
      </w:r>
      <w:r w:rsidRPr="0010392B">
        <w:rPr>
          <w:rFonts w:ascii="Times New Roman" w:eastAsia="Times New Roman" w:hAnsi="Times New Roman"/>
          <w:sz w:val="18"/>
          <w:szCs w:val="18"/>
          <w:lang w:eastAsia="lv-LV"/>
        </w:rPr>
        <w:t>Definīcija pielāgota EK kopīgā rādītāja RCO14 "</w:t>
      </w:r>
      <w:proofErr w:type="spellStart"/>
      <w:r w:rsidRPr="0010392B">
        <w:rPr>
          <w:rFonts w:ascii="Times New Roman" w:eastAsia="Times New Roman" w:hAnsi="Times New Roman"/>
          <w:sz w:val="18"/>
          <w:szCs w:val="18"/>
          <w:lang w:eastAsia="lv-LV"/>
        </w:rPr>
        <w:t>Public</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institutions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supported</w:t>
      </w:r>
      <w:proofErr w:type="spellEnd"/>
      <w:r w:rsidRPr="0010392B">
        <w:rPr>
          <w:rFonts w:ascii="Times New Roman" w:eastAsia="Times New Roman" w:hAnsi="Times New Roman"/>
          <w:sz w:val="18"/>
          <w:szCs w:val="18"/>
          <w:lang w:eastAsia="lv-LV"/>
        </w:rPr>
        <w:t xml:space="preserve"> to </w:t>
      </w:r>
      <w:proofErr w:type="spellStart"/>
      <w:r w:rsidRPr="0010392B">
        <w:rPr>
          <w:rFonts w:ascii="Times New Roman" w:eastAsia="Times New Roman" w:hAnsi="Times New Roman"/>
          <w:sz w:val="18"/>
          <w:szCs w:val="18"/>
          <w:lang w:eastAsia="lv-LV"/>
        </w:rPr>
        <w:t>develop</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digital</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services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products</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and</w:t>
      </w:r>
      <w:proofErr w:type="spellEnd"/>
      <w:r w:rsidRPr="0010392B">
        <w:rPr>
          <w:rFonts w:ascii="Times New Roman" w:eastAsia="Times New Roman" w:hAnsi="Times New Roman"/>
          <w:sz w:val="18"/>
          <w:szCs w:val="18"/>
          <w:lang w:eastAsia="lv-LV"/>
        </w:rPr>
        <w:t xml:space="preserve"> </w:t>
      </w:r>
      <w:proofErr w:type="spellStart"/>
      <w:r w:rsidRPr="0010392B">
        <w:rPr>
          <w:rFonts w:ascii="Times New Roman" w:eastAsia="Times New Roman" w:hAnsi="Times New Roman"/>
          <w:sz w:val="18"/>
          <w:szCs w:val="18"/>
          <w:lang w:eastAsia="lv-LV"/>
        </w:rPr>
        <w:t>processes</w:t>
      </w:r>
      <w:proofErr w:type="spellEnd"/>
      <w:r w:rsidRPr="0010392B">
        <w:rPr>
          <w:rFonts w:ascii="Times New Roman" w:eastAsia="Times New Roman" w:hAnsi="Times New Roman"/>
          <w:sz w:val="18"/>
          <w:szCs w:val="18"/>
          <w:lang w:eastAsia="lv-LV"/>
        </w:rPr>
        <w:t>" definīcijai</w:t>
      </w:r>
    </w:p>
  </w:footnote>
  <w:footnote w:id="22">
    <w:p w14:paraId="4C7AAEC7" w14:textId="77777777" w:rsidR="00587309" w:rsidRDefault="00587309" w:rsidP="00EE4E1C">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23">
    <w:p w14:paraId="198FDE04" w14:textId="77777777" w:rsidR="00587309" w:rsidRDefault="00587309" w:rsidP="00EE4E1C">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17B6F122" w14:textId="77777777" w:rsidR="00587309" w:rsidRDefault="00587309" w:rsidP="00EE4E1C">
      <w:pPr>
        <w:pStyle w:val="FootnoteText"/>
      </w:pPr>
      <w:r>
        <w:rPr>
          <w:rStyle w:val="FootnoteReference"/>
        </w:rPr>
        <w:footnoteRef/>
      </w:r>
      <w:r>
        <w:t xml:space="preserve"> </w:t>
      </w:r>
      <w:r w:rsidRPr="0071727A">
        <w:rPr>
          <w:rFonts w:ascii="Times New Roman" w:eastAsia="Times New Roman" w:hAnsi="Times New Roman"/>
          <w:sz w:val="18"/>
          <w:szCs w:val="18"/>
          <w:lang w:eastAsia="lv-LV"/>
        </w:rPr>
        <w:t>Definīcija pielāgota EK kopīgā rādītāja RCR11  "</w:t>
      </w:r>
      <w:proofErr w:type="spellStart"/>
      <w:r w:rsidRPr="0071727A">
        <w:rPr>
          <w:rFonts w:ascii="Times New Roman" w:eastAsia="Times New Roman" w:hAnsi="Times New Roman"/>
          <w:sz w:val="18"/>
          <w:szCs w:val="18"/>
          <w:lang w:eastAsia="lv-LV"/>
        </w:rPr>
        <w:t>Users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of</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new</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and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upgraded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public</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digital</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services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products</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and</w:t>
      </w:r>
      <w:proofErr w:type="spellEnd"/>
      <w:r w:rsidRPr="0071727A">
        <w:rPr>
          <w:rFonts w:ascii="Times New Roman" w:eastAsia="Times New Roman" w:hAnsi="Times New Roman"/>
          <w:sz w:val="18"/>
          <w:szCs w:val="18"/>
          <w:lang w:eastAsia="lv-LV"/>
        </w:rPr>
        <w:t xml:space="preserve"> </w:t>
      </w:r>
      <w:proofErr w:type="spellStart"/>
      <w:r w:rsidRPr="0071727A">
        <w:rPr>
          <w:rFonts w:ascii="Times New Roman" w:eastAsia="Times New Roman" w:hAnsi="Times New Roman"/>
          <w:sz w:val="18"/>
          <w:szCs w:val="18"/>
          <w:lang w:eastAsia="lv-LV"/>
        </w:rPr>
        <w:t>processes</w:t>
      </w:r>
      <w:proofErr w:type="spellEnd"/>
      <w:r w:rsidRPr="0071727A">
        <w:rPr>
          <w:rFonts w:ascii="Times New Roman" w:eastAsia="Times New Roman" w:hAnsi="Times New Roman"/>
          <w:sz w:val="18"/>
          <w:szCs w:val="18"/>
          <w:lang w:eastAsia="lv-LV"/>
        </w:rPr>
        <w:t>" definīcijai</w:t>
      </w:r>
    </w:p>
  </w:footnote>
  <w:footnote w:id="25">
    <w:p w14:paraId="604D6A22" w14:textId="77777777" w:rsidR="00587309" w:rsidRDefault="00587309" w:rsidP="0071727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bāzes vērtības (ja attiecināms), starpposma vērības (ja attiecināms) un sasniedzamās vērtības noteikšanai</w:t>
      </w:r>
    </w:p>
  </w:footnote>
  <w:footnote w:id="26">
    <w:p w14:paraId="14ED90D1" w14:textId="77777777" w:rsidR="00587309" w:rsidRDefault="00587309" w:rsidP="0071727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18"/>
          <w:szCs w:val="18"/>
        </w:rPr>
        <w:t xml:space="preserve"> </w:t>
      </w:r>
      <w:r>
        <w:rPr>
          <w:rFonts w:ascii="Times New Roman" w:eastAsia="Times New Roman" w:hAnsi="Times New Roman" w:cs="Times New Roman"/>
          <w:color w:val="000000"/>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78D95C11" w14:textId="121497F0" w:rsidR="00587309" w:rsidRPr="007D74AC" w:rsidRDefault="00587309" w:rsidP="00EE4E1C">
      <w:pPr>
        <w:pStyle w:val="FootnoteText"/>
        <w:rPr>
          <w:rFonts w:ascii="Times New Roman" w:hAnsi="Times New Roman"/>
        </w:rPr>
      </w:pPr>
      <w:r w:rsidRPr="007D74AC">
        <w:rPr>
          <w:rStyle w:val="FootnoteReference"/>
          <w:rFonts w:ascii="Times New Roman" w:hAnsi="Times New Roman"/>
        </w:rPr>
        <w:footnoteRef/>
      </w:r>
      <w:r w:rsidRPr="007D74AC">
        <w:rPr>
          <w:rFonts w:ascii="Times New Roman" w:hAnsi="Times New Roman"/>
        </w:rPr>
        <w:t xml:space="preserve"> </w:t>
      </w:r>
      <w:r w:rsidRPr="007D74AC">
        <w:rPr>
          <w:rFonts w:ascii="Times New Roman" w:hAnsi="Times New Roman"/>
        </w:rPr>
        <w:t xml:space="preserve">Zinātnisko institūciju starptautiskā novērtējuma rezultāti </w:t>
      </w:r>
      <w:r w:rsidR="007D74AC" w:rsidRPr="007D74AC">
        <w:rPr>
          <w:rFonts w:ascii="Times New Roman" w:hAnsi="Times New Roman"/>
        </w:rPr>
        <w:t>publicēti</w:t>
      </w:r>
      <w:r w:rsidRPr="007D74AC">
        <w:rPr>
          <w:rFonts w:ascii="Times New Roman" w:hAnsi="Times New Roman"/>
        </w:rPr>
        <w:t xml:space="preserve"> 2021.gada 17.martā un ir pieejami šeit: https://www.izm.gov.lv/lv/2019-gada-zinatnisko-instituciju-starptautiskais-novertejums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D38"/>
    <w:multiLevelType w:val="multilevel"/>
    <w:tmpl w:val="E1725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9B6AD6"/>
    <w:multiLevelType w:val="multilevel"/>
    <w:tmpl w:val="B45488F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0C46476"/>
    <w:multiLevelType w:val="multilevel"/>
    <w:tmpl w:val="8BC0D032"/>
    <w:lvl w:ilvl="0">
      <w:start w:val="1"/>
      <w:numFmt w:val="lowerLetter"/>
      <w:lvlText w:val="%1."/>
      <w:lvlJc w:val="left"/>
      <w:pPr>
        <w:ind w:left="-1080" w:hanging="360"/>
      </w:pPr>
    </w:lvl>
    <w:lvl w:ilvl="1">
      <w:start w:val="1"/>
      <w:numFmt w:val="lowerLetter"/>
      <w:lvlText w:val="%2."/>
      <w:lvlJc w:val="left"/>
      <w:pPr>
        <w:ind w:left="-360" w:hanging="360"/>
      </w:pPr>
    </w:lvl>
    <w:lvl w:ilvl="2">
      <w:start w:val="1"/>
      <w:numFmt w:val="lowerRoman"/>
      <w:lvlText w:val="%3."/>
      <w:lvlJc w:val="right"/>
      <w:pPr>
        <w:ind w:left="360" w:hanging="180"/>
      </w:pPr>
    </w:lvl>
    <w:lvl w:ilvl="3">
      <w:start w:val="1"/>
      <w:numFmt w:val="decimal"/>
      <w:lvlText w:val="%4."/>
      <w:lvlJc w:val="left"/>
      <w:pPr>
        <w:ind w:left="1080" w:hanging="360"/>
      </w:pPr>
    </w:lvl>
    <w:lvl w:ilvl="4">
      <w:start w:val="1"/>
      <w:numFmt w:val="lowerLetter"/>
      <w:lvlText w:val="%5."/>
      <w:lvlJc w:val="left"/>
      <w:pPr>
        <w:ind w:left="1800" w:hanging="360"/>
      </w:pPr>
    </w:lvl>
    <w:lvl w:ilvl="5">
      <w:start w:val="1"/>
      <w:numFmt w:val="lowerRoman"/>
      <w:lvlText w:val="%6."/>
      <w:lvlJc w:val="right"/>
      <w:pPr>
        <w:ind w:left="2520" w:hanging="180"/>
      </w:pPr>
    </w:lvl>
    <w:lvl w:ilvl="6">
      <w:start w:val="1"/>
      <w:numFmt w:val="decimal"/>
      <w:lvlText w:val="%7."/>
      <w:lvlJc w:val="left"/>
      <w:pPr>
        <w:ind w:left="3240" w:hanging="360"/>
      </w:pPr>
    </w:lvl>
    <w:lvl w:ilvl="7">
      <w:start w:val="1"/>
      <w:numFmt w:val="lowerLetter"/>
      <w:lvlText w:val="%8."/>
      <w:lvlJc w:val="left"/>
      <w:pPr>
        <w:ind w:left="3960" w:hanging="360"/>
      </w:pPr>
    </w:lvl>
    <w:lvl w:ilvl="8">
      <w:start w:val="1"/>
      <w:numFmt w:val="lowerRoman"/>
      <w:lvlText w:val="%9."/>
      <w:lvlJc w:val="right"/>
      <w:pPr>
        <w:ind w:left="4680" w:hanging="180"/>
      </w:pPr>
    </w:lvl>
  </w:abstractNum>
  <w:abstractNum w:abstractNumId="3" w15:restartNumberingAfterBreak="0">
    <w:nsid w:val="162D6EB8"/>
    <w:multiLevelType w:val="multilevel"/>
    <w:tmpl w:val="D2BC06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C290798"/>
    <w:multiLevelType w:val="multilevel"/>
    <w:tmpl w:val="FBA450C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DB5980"/>
    <w:multiLevelType w:val="multilevel"/>
    <w:tmpl w:val="B12A15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5864CD3"/>
    <w:multiLevelType w:val="multilevel"/>
    <w:tmpl w:val="259C475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5F6121D"/>
    <w:multiLevelType w:val="multilevel"/>
    <w:tmpl w:val="46D4AB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0CE03CA"/>
    <w:multiLevelType w:val="multilevel"/>
    <w:tmpl w:val="044E7B7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8C688C"/>
    <w:multiLevelType w:val="multilevel"/>
    <w:tmpl w:val="0B5641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6CD07AA"/>
    <w:multiLevelType w:val="multilevel"/>
    <w:tmpl w:val="8ACA0F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E3827B4"/>
    <w:multiLevelType w:val="multilevel"/>
    <w:tmpl w:val="BD70E44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44700C"/>
    <w:multiLevelType w:val="multilevel"/>
    <w:tmpl w:val="240AE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90E6491"/>
    <w:multiLevelType w:val="multilevel"/>
    <w:tmpl w:val="C4C2FE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9CA0EB2"/>
    <w:multiLevelType w:val="multilevel"/>
    <w:tmpl w:val="8ACA0F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CC84973"/>
    <w:multiLevelType w:val="multilevel"/>
    <w:tmpl w:val="240AE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E491DDB"/>
    <w:multiLevelType w:val="multilevel"/>
    <w:tmpl w:val="59A46574"/>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2763470"/>
    <w:multiLevelType w:val="multilevel"/>
    <w:tmpl w:val="DA22CEE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3E77960"/>
    <w:multiLevelType w:val="multilevel"/>
    <w:tmpl w:val="34F05A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6C62EE8"/>
    <w:multiLevelType w:val="multilevel"/>
    <w:tmpl w:val="76E6EE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DE44E6B"/>
    <w:multiLevelType w:val="multilevel"/>
    <w:tmpl w:val="2A9A9C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E06508E"/>
    <w:multiLevelType w:val="multilevel"/>
    <w:tmpl w:val="171265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FDF466A"/>
    <w:multiLevelType w:val="multilevel"/>
    <w:tmpl w:val="0E2035E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923A73"/>
    <w:multiLevelType w:val="multilevel"/>
    <w:tmpl w:val="59A46574"/>
    <w:lvl w:ilvl="0">
      <w:start w:val="1"/>
      <w:numFmt w:val="lowerLetter"/>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69AE18C0"/>
    <w:multiLevelType w:val="multilevel"/>
    <w:tmpl w:val="8AEE4F18"/>
    <w:lvl w:ilvl="0">
      <w:start w:val="1"/>
      <w:numFmt w:val="decimal"/>
      <w:lvlText w:val="%1)"/>
      <w:lvlJc w:val="left"/>
      <w:pPr>
        <w:ind w:left="285" w:hanging="360"/>
      </w:p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25" w15:restartNumberingAfterBreak="0">
    <w:nsid w:val="6B835DA7"/>
    <w:multiLevelType w:val="multilevel"/>
    <w:tmpl w:val="1D640A0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EA57AC1"/>
    <w:multiLevelType w:val="multilevel"/>
    <w:tmpl w:val="3BF211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51A2BCD"/>
    <w:multiLevelType w:val="multilevel"/>
    <w:tmpl w:val="15FA66A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E710D48"/>
    <w:multiLevelType w:val="multilevel"/>
    <w:tmpl w:val="82905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03447932">
    <w:abstractNumId w:val="21"/>
  </w:num>
  <w:num w:numId="2" w16cid:durableId="431826957">
    <w:abstractNumId w:val="26"/>
  </w:num>
  <w:num w:numId="3" w16cid:durableId="1481003291">
    <w:abstractNumId w:val="22"/>
  </w:num>
  <w:num w:numId="4" w16cid:durableId="1888683423">
    <w:abstractNumId w:val="2"/>
  </w:num>
  <w:num w:numId="5" w16cid:durableId="481386235">
    <w:abstractNumId w:val="15"/>
  </w:num>
  <w:num w:numId="6" w16cid:durableId="1617907455">
    <w:abstractNumId w:val="11"/>
  </w:num>
  <w:num w:numId="7" w16cid:durableId="1978293294">
    <w:abstractNumId w:val="19"/>
  </w:num>
  <w:num w:numId="8" w16cid:durableId="1696686689">
    <w:abstractNumId w:val="0"/>
  </w:num>
  <w:num w:numId="9" w16cid:durableId="1439711669">
    <w:abstractNumId w:val="24"/>
  </w:num>
  <w:num w:numId="10" w16cid:durableId="1067532663">
    <w:abstractNumId w:val="25"/>
  </w:num>
  <w:num w:numId="11" w16cid:durableId="1989240572">
    <w:abstractNumId w:val="4"/>
  </w:num>
  <w:num w:numId="12" w16cid:durableId="229078517">
    <w:abstractNumId w:val="1"/>
  </w:num>
  <w:num w:numId="13" w16cid:durableId="613055351">
    <w:abstractNumId w:val="9"/>
  </w:num>
  <w:num w:numId="14" w16cid:durableId="788092117">
    <w:abstractNumId w:val="6"/>
  </w:num>
  <w:num w:numId="15" w16cid:durableId="1761750497">
    <w:abstractNumId w:val="10"/>
  </w:num>
  <w:num w:numId="16" w16cid:durableId="1462114842">
    <w:abstractNumId w:val="18"/>
  </w:num>
  <w:num w:numId="17" w16cid:durableId="1223520205">
    <w:abstractNumId w:val="13"/>
  </w:num>
  <w:num w:numId="18" w16cid:durableId="2016568835">
    <w:abstractNumId w:val="28"/>
  </w:num>
  <w:num w:numId="19" w16cid:durableId="1535313291">
    <w:abstractNumId w:val="7"/>
  </w:num>
  <w:num w:numId="20" w16cid:durableId="894046804">
    <w:abstractNumId w:val="20"/>
  </w:num>
  <w:num w:numId="21" w16cid:durableId="1211922588">
    <w:abstractNumId w:val="8"/>
  </w:num>
  <w:num w:numId="22" w16cid:durableId="225607044">
    <w:abstractNumId w:val="5"/>
  </w:num>
  <w:num w:numId="23" w16cid:durableId="490871813">
    <w:abstractNumId w:val="17"/>
  </w:num>
  <w:num w:numId="24" w16cid:durableId="948390783">
    <w:abstractNumId w:val="3"/>
  </w:num>
  <w:num w:numId="25" w16cid:durableId="478428407">
    <w:abstractNumId w:val="27"/>
  </w:num>
  <w:num w:numId="26" w16cid:durableId="1407411747">
    <w:abstractNumId w:val="16"/>
  </w:num>
  <w:num w:numId="27" w16cid:durableId="848833548">
    <w:abstractNumId w:val="23"/>
  </w:num>
  <w:num w:numId="28" w16cid:durableId="737092652">
    <w:abstractNumId w:val="12"/>
  </w:num>
  <w:num w:numId="29" w16cid:durableId="3579712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1DB"/>
    <w:rsid w:val="000178B8"/>
    <w:rsid w:val="00022419"/>
    <w:rsid w:val="00050135"/>
    <w:rsid w:val="00082497"/>
    <w:rsid w:val="00096900"/>
    <w:rsid w:val="000A5DDF"/>
    <w:rsid w:val="000C4733"/>
    <w:rsid w:val="000D17B2"/>
    <w:rsid w:val="0010392B"/>
    <w:rsid w:val="00165F67"/>
    <w:rsid w:val="001735D0"/>
    <w:rsid w:val="00197422"/>
    <w:rsid w:val="00225483"/>
    <w:rsid w:val="00244C8A"/>
    <w:rsid w:val="0028603C"/>
    <w:rsid w:val="002D7B7B"/>
    <w:rsid w:val="003370E7"/>
    <w:rsid w:val="0038772B"/>
    <w:rsid w:val="003E19E2"/>
    <w:rsid w:val="003E59B2"/>
    <w:rsid w:val="00401BF4"/>
    <w:rsid w:val="00432B6E"/>
    <w:rsid w:val="00470CB3"/>
    <w:rsid w:val="00485BE4"/>
    <w:rsid w:val="0050175F"/>
    <w:rsid w:val="0050283C"/>
    <w:rsid w:val="0056622C"/>
    <w:rsid w:val="00582A99"/>
    <w:rsid w:val="00582F33"/>
    <w:rsid w:val="00587309"/>
    <w:rsid w:val="005B735F"/>
    <w:rsid w:val="005E0FD7"/>
    <w:rsid w:val="005F018A"/>
    <w:rsid w:val="005F0A9C"/>
    <w:rsid w:val="00632DCE"/>
    <w:rsid w:val="00682042"/>
    <w:rsid w:val="00683EF4"/>
    <w:rsid w:val="006B3A45"/>
    <w:rsid w:val="006B57D9"/>
    <w:rsid w:val="006E3712"/>
    <w:rsid w:val="006F062B"/>
    <w:rsid w:val="0071727A"/>
    <w:rsid w:val="00743D0B"/>
    <w:rsid w:val="00797A54"/>
    <w:rsid w:val="007A2CCD"/>
    <w:rsid w:val="007B61DB"/>
    <w:rsid w:val="007D74AC"/>
    <w:rsid w:val="007E7C90"/>
    <w:rsid w:val="00813B1E"/>
    <w:rsid w:val="0082002F"/>
    <w:rsid w:val="00826BA3"/>
    <w:rsid w:val="0083217F"/>
    <w:rsid w:val="00881EAC"/>
    <w:rsid w:val="0088464A"/>
    <w:rsid w:val="008861A6"/>
    <w:rsid w:val="008C7D93"/>
    <w:rsid w:val="008E4817"/>
    <w:rsid w:val="00937FAF"/>
    <w:rsid w:val="00990982"/>
    <w:rsid w:val="00A12F19"/>
    <w:rsid w:val="00A52F73"/>
    <w:rsid w:val="00A54654"/>
    <w:rsid w:val="00AB790D"/>
    <w:rsid w:val="00B02C38"/>
    <w:rsid w:val="00B051A4"/>
    <w:rsid w:val="00BC15B3"/>
    <w:rsid w:val="00BF76FB"/>
    <w:rsid w:val="00C37FEB"/>
    <w:rsid w:val="00C67B18"/>
    <w:rsid w:val="00CB32B6"/>
    <w:rsid w:val="00CB4B1C"/>
    <w:rsid w:val="00CD5C8B"/>
    <w:rsid w:val="00D47092"/>
    <w:rsid w:val="00DA77A3"/>
    <w:rsid w:val="00DB57A4"/>
    <w:rsid w:val="00E117C5"/>
    <w:rsid w:val="00E4311C"/>
    <w:rsid w:val="00EA204F"/>
    <w:rsid w:val="00EA2247"/>
    <w:rsid w:val="00EE4E1C"/>
    <w:rsid w:val="00F011AE"/>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B394D"/>
  <w15:docId w15:val="{2DC7F081-EF2E-40CC-BC03-70CA179D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7F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FootnoteReference">
    <w:name w:val="footnote reference"/>
    <w:basedOn w:val="DefaultParagraphFont"/>
    <w:uiPriority w:val="99"/>
    <w:semiHidden/>
    <w:unhideWhenUsed/>
    <w:rsid w:val="001A77F1"/>
    <w:rPr>
      <w:vertAlign w:val="superscript"/>
    </w:rPr>
  </w:style>
  <w:style w:type="character" w:styleId="CommentReference">
    <w:name w:val="annotation reference"/>
    <w:basedOn w:val="DefaultParagraphFont"/>
    <w:uiPriority w:val="99"/>
    <w:unhideWhenUsed/>
    <w:rsid w:val="00CC0F8C"/>
    <w:rPr>
      <w:sz w:val="16"/>
      <w:szCs w:val="16"/>
    </w:rPr>
  </w:style>
  <w:style w:type="paragraph" w:styleId="CommentText">
    <w:name w:val="annotation text"/>
    <w:basedOn w:val="Normal"/>
    <w:link w:val="CommentTextChar"/>
    <w:uiPriority w:val="99"/>
    <w:unhideWhenUsed/>
    <w:rsid w:val="00CC0F8C"/>
    <w:pPr>
      <w:spacing w:line="240" w:lineRule="auto"/>
    </w:pPr>
    <w:rPr>
      <w:sz w:val="20"/>
      <w:szCs w:val="20"/>
    </w:rPr>
  </w:style>
  <w:style w:type="character" w:customStyle="1" w:styleId="CommentTextChar">
    <w:name w:val="Comment Text Char"/>
    <w:basedOn w:val="DefaultParagraphFont"/>
    <w:link w:val="CommentText"/>
    <w:uiPriority w:val="99"/>
    <w:rsid w:val="00CC0F8C"/>
    <w:rPr>
      <w:rFonts w:ascii="Calibri" w:eastAsia="Calibri" w:hAnsi="Calibri" w:cs="Calibri"/>
      <w:sz w:val="20"/>
      <w:szCs w:val="20"/>
      <w:lang w:eastAsia="lv-LV"/>
    </w:rPr>
  </w:style>
  <w:style w:type="paragraph" w:styleId="CommentSubject">
    <w:name w:val="annotation subject"/>
    <w:basedOn w:val="CommentText"/>
    <w:next w:val="CommentText"/>
    <w:link w:val="CommentSubjectChar"/>
    <w:uiPriority w:val="99"/>
    <w:semiHidden/>
    <w:unhideWhenUsed/>
    <w:rsid w:val="00CC0F8C"/>
    <w:rPr>
      <w:b/>
      <w:bCs/>
    </w:rPr>
  </w:style>
  <w:style w:type="character" w:customStyle="1" w:styleId="CommentSubjectChar">
    <w:name w:val="Comment Subject Char"/>
    <w:basedOn w:val="CommentTextChar"/>
    <w:link w:val="CommentSubject"/>
    <w:uiPriority w:val="99"/>
    <w:semiHidden/>
    <w:rsid w:val="00CC0F8C"/>
    <w:rPr>
      <w:rFonts w:ascii="Calibri" w:eastAsia="Calibri" w:hAnsi="Calibri" w:cs="Calibri"/>
      <w:b/>
      <w:bCs/>
      <w:sz w:val="20"/>
      <w:szCs w:val="20"/>
      <w:lang w:eastAsia="lv-LV"/>
    </w:rPr>
  </w:style>
  <w:style w:type="paragraph" w:styleId="BalloonText">
    <w:name w:val="Balloon Text"/>
    <w:basedOn w:val="Normal"/>
    <w:link w:val="BalloonTextChar"/>
    <w:uiPriority w:val="99"/>
    <w:semiHidden/>
    <w:unhideWhenUsed/>
    <w:rsid w:val="00CC0F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F8C"/>
    <w:rPr>
      <w:rFonts w:ascii="Segoe UI" w:eastAsia="Calibri" w:hAnsi="Segoe UI" w:cs="Segoe UI"/>
      <w:sz w:val="18"/>
      <w:szCs w:val="18"/>
      <w:lang w:eastAsia="lv-LV"/>
    </w:rPr>
  </w:style>
  <w:style w:type="character" w:customStyle="1" w:styleId="Text1Char">
    <w:name w:val="Text 1 Char"/>
    <w:link w:val="Text1"/>
    <w:locked/>
    <w:rsid w:val="001C79A4"/>
  </w:style>
  <w:style w:type="paragraph" w:customStyle="1" w:styleId="Text1">
    <w:name w:val="Text 1"/>
    <w:basedOn w:val="Normal"/>
    <w:link w:val="Text1Char"/>
    <w:rsid w:val="001C79A4"/>
    <w:pPr>
      <w:spacing w:before="120" w:after="120" w:line="240" w:lineRule="auto"/>
      <w:ind w:left="850"/>
      <w:jc w:val="both"/>
    </w:pPr>
    <w:rPr>
      <w:rFonts w:ascii="Times New Roman" w:eastAsiaTheme="minorHAnsi" w:hAnsi="Times New Roman" w:cs="Times New Roman"/>
      <w:sz w:val="24"/>
      <w:szCs w:val="24"/>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customStyle="1" w:styleId="Default">
    <w:name w:val="Default"/>
    <w:rsid w:val="008C7E6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paragraph" w:styleId="ListParagraph">
    <w:name w:val="List Paragraph"/>
    <w:aliases w:val="2"/>
    <w:basedOn w:val="Normal"/>
    <w:link w:val="ListParagraphChar"/>
    <w:uiPriority w:val="34"/>
    <w:qFormat/>
    <w:rsid w:val="00D431F7"/>
    <w:pPr>
      <w:ind w:left="720"/>
      <w:contextualSpacing/>
    </w:pPr>
  </w:style>
  <w:style w:type="character" w:styleId="Emphasis">
    <w:name w:val="Emphasis"/>
    <w:basedOn w:val="DefaultParagraphFont"/>
    <w:uiPriority w:val="20"/>
    <w:qFormat/>
    <w:rsid w:val="001D5B91"/>
    <w:rPr>
      <w:i/>
      <w:iCs/>
    </w:rPr>
  </w:style>
  <w:style w:type="paragraph" w:styleId="FootnoteText">
    <w:name w:val="footnote text"/>
    <w:basedOn w:val="Normal"/>
    <w:link w:val="FootnoteTextChar"/>
    <w:uiPriority w:val="99"/>
    <w:semiHidden/>
    <w:unhideWhenUsed/>
    <w:rsid w:val="00D348FE"/>
    <w:pPr>
      <w:spacing w:after="0" w:line="240" w:lineRule="auto"/>
    </w:pPr>
    <w:rPr>
      <w:rFonts w:cs="Times New Roman"/>
      <w:sz w:val="20"/>
      <w:szCs w:val="20"/>
      <w:lang w:eastAsia="en-US"/>
    </w:rPr>
  </w:style>
  <w:style w:type="character" w:customStyle="1" w:styleId="FootnoteTextChar">
    <w:name w:val="Footnote Text Char"/>
    <w:basedOn w:val="DefaultParagraphFont"/>
    <w:link w:val="FootnoteText"/>
    <w:uiPriority w:val="99"/>
    <w:semiHidden/>
    <w:rsid w:val="00D348FE"/>
    <w:rPr>
      <w:rFonts w:cs="Times New Roman"/>
      <w:sz w:val="20"/>
      <w:szCs w:val="20"/>
    </w:rPr>
  </w:style>
  <w:style w:type="character" w:customStyle="1" w:styleId="ListParagraphChar">
    <w:name w:val="List Paragraph Char"/>
    <w:aliases w:val="2 Char"/>
    <w:link w:val="ListParagraph"/>
    <w:uiPriority w:val="34"/>
    <w:locked/>
    <w:rsid w:val="00D348FE"/>
    <w:rPr>
      <w:lang w:eastAsia="lv-LV"/>
    </w:rPr>
  </w:style>
  <w:style w:type="paragraph" w:styleId="Revision">
    <w:name w:val="Revision"/>
    <w:hidden/>
    <w:uiPriority w:val="99"/>
    <w:semiHidden/>
    <w:rsid w:val="00AB5A99"/>
    <w:pPr>
      <w:spacing w:after="0" w:line="240" w:lineRule="auto"/>
    </w:p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9B477E"/>
    <w:rPr>
      <w:color w:val="0563C1" w:themeColor="hyperlink"/>
      <w:u w:val="single"/>
    </w:r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774">
      <w:bodyDiv w:val="1"/>
      <w:marLeft w:val="0"/>
      <w:marRight w:val="0"/>
      <w:marTop w:val="0"/>
      <w:marBottom w:val="0"/>
      <w:divBdr>
        <w:top w:val="none" w:sz="0" w:space="0" w:color="auto"/>
        <w:left w:val="none" w:sz="0" w:space="0" w:color="auto"/>
        <w:bottom w:val="none" w:sz="0" w:space="0" w:color="auto"/>
        <w:right w:val="none" w:sz="0" w:space="0" w:color="auto"/>
      </w:divBdr>
    </w:div>
    <w:div w:id="151264246">
      <w:bodyDiv w:val="1"/>
      <w:marLeft w:val="0"/>
      <w:marRight w:val="0"/>
      <w:marTop w:val="0"/>
      <w:marBottom w:val="0"/>
      <w:divBdr>
        <w:top w:val="none" w:sz="0" w:space="0" w:color="auto"/>
        <w:left w:val="none" w:sz="0" w:space="0" w:color="auto"/>
        <w:bottom w:val="none" w:sz="0" w:space="0" w:color="auto"/>
        <w:right w:val="none" w:sz="0" w:space="0" w:color="auto"/>
      </w:divBdr>
    </w:div>
    <w:div w:id="374085612">
      <w:bodyDiv w:val="1"/>
      <w:marLeft w:val="0"/>
      <w:marRight w:val="0"/>
      <w:marTop w:val="0"/>
      <w:marBottom w:val="0"/>
      <w:divBdr>
        <w:top w:val="none" w:sz="0" w:space="0" w:color="auto"/>
        <w:left w:val="none" w:sz="0" w:space="0" w:color="auto"/>
        <w:bottom w:val="none" w:sz="0" w:space="0" w:color="auto"/>
        <w:right w:val="none" w:sz="0" w:space="0" w:color="auto"/>
      </w:divBdr>
    </w:div>
    <w:div w:id="580483842">
      <w:bodyDiv w:val="1"/>
      <w:marLeft w:val="0"/>
      <w:marRight w:val="0"/>
      <w:marTop w:val="0"/>
      <w:marBottom w:val="0"/>
      <w:divBdr>
        <w:top w:val="none" w:sz="0" w:space="0" w:color="auto"/>
        <w:left w:val="none" w:sz="0" w:space="0" w:color="auto"/>
        <w:bottom w:val="none" w:sz="0" w:space="0" w:color="auto"/>
        <w:right w:val="none" w:sz="0" w:space="0" w:color="auto"/>
      </w:divBdr>
    </w:div>
    <w:div w:id="585456408">
      <w:bodyDiv w:val="1"/>
      <w:marLeft w:val="0"/>
      <w:marRight w:val="0"/>
      <w:marTop w:val="0"/>
      <w:marBottom w:val="0"/>
      <w:divBdr>
        <w:top w:val="none" w:sz="0" w:space="0" w:color="auto"/>
        <w:left w:val="none" w:sz="0" w:space="0" w:color="auto"/>
        <w:bottom w:val="none" w:sz="0" w:space="0" w:color="auto"/>
        <w:right w:val="none" w:sz="0" w:space="0" w:color="auto"/>
      </w:divBdr>
    </w:div>
    <w:div w:id="597759543">
      <w:bodyDiv w:val="1"/>
      <w:marLeft w:val="0"/>
      <w:marRight w:val="0"/>
      <w:marTop w:val="0"/>
      <w:marBottom w:val="0"/>
      <w:divBdr>
        <w:top w:val="none" w:sz="0" w:space="0" w:color="auto"/>
        <w:left w:val="none" w:sz="0" w:space="0" w:color="auto"/>
        <w:bottom w:val="none" w:sz="0" w:space="0" w:color="auto"/>
        <w:right w:val="none" w:sz="0" w:space="0" w:color="auto"/>
      </w:divBdr>
    </w:div>
    <w:div w:id="727920509">
      <w:bodyDiv w:val="1"/>
      <w:marLeft w:val="0"/>
      <w:marRight w:val="0"/>
      <w:marTop w:val="0"/>
      <w:marBottom w:val="0"/>
      <w:divBdr>
        <w:top w:val="none" w:sz="0" w:space="0" w:color="auto"/>
        <w:left w:val="none" w:sz="0" w:space="0" w:color="auto"/>
        <w:bottom w:val="none" w:sz="0" w:space="0" w:color="auto"/>
        <w:right w:val="none" w:sz="0" w:space="0" w:color="auto"/>
      </w:divBdr>
    </w:div>
    <w:div w:id="729769245">
      <w:bodyDiv w:val="1"/>
      <w:marLeft w:val="0"/>
      <w:marRight w:val="0"/>
      <w:marTop w:val="0"/>
      <w:marBottom w:val="0"/>
      <w:divBdr>
        <w:top w:val="none" w:sz="0" w:space="0" w:color="auto"/>
        <w:left w:val="none" w:sz="0" w:space="0" w:color="auto"/>
        <w:bottom w:val="none" w:sz="0" w:space="0" w:color="auto"/>
        <w:right w:val="none" w:sz="0" w:space="0" w:color="auto"/>
      </w:divBdr>
    </w:div>
    <w:div w:id="782462430">
      <w:bodyDiv w:val="1"/>
      <w:marLeft w:val="0"/>
      <w:marRight w:val="0"/>
      <w:marTop w:val="0"/>
      <w:marBottom w:val="0"/>
      <w:divBdr>
        <w:top w:val="none" w:sz="0" w:space="0" w:color="auto"/>
        <w:left w:val="none" w:sz="0" w:space="0" w:color="auto"/>
        <w:bottom w:val="none" w:sz="0" w:space="0" w:color="auto"/>
        <w:right w:val="none" w:sz="0" w:space="0" w:color="auto"/>
      </w:divBdr>
    </w:div>
    <w:div w:id="826283672">
      <w:bodyDiv w:val="1"/>
      <w:marLeft w:val="0"/>
      <w:marRight w:val="0"/>
      <w:marTop w:val="0"/>
      <w:marBottom w:val="0"/>
      <w:divBdr>
        <w:top w:val="none" w:sz="0" w:space="0" w:color="auto"/>
        <w:left w:val="none" w:sz="0" w:space="0" w:color="auto"/>
        <w:bottom w:val="none" w:sz="0" w:space="0" w:color="auto"/>
        <w:right w:val="none" w:sz="0" w:space="0" w:color="auto"/>
      </w:divBdr>
    </w:div>
    <w:div w:id="997268037">
      <w:bodyDiv w:val="1"/>
      <w:marLeft w:val="0"/>
      <w:marRight w:val="0"/>
      <w:marTop w:val="0"/>
      <w:marBottom w:val="0"/>
      <w:divBdr>
        <w:top w:val="none" w:sz="0" w:space="0" w:color="auto"/>
        <w:left w:val="none" w:sz="0" w:space="0" w:color="auto"/>
        <w:bottom w:val="none" w:sz="0" w:space="0" w:color="auto"/>
        <w:right w:val="none" w:sz="0" w:space="0" w:color="auto"/>
      </w:divBdr>
    </w:div>
    <w:div w:id="1026827459">
      <w:bodyDiv w:val="1"/>
      <w:marLeft w:val="0"/>
      <w:marRight w:val="0"/>
      <w:marTop w:val="0"/>
      <w:marBottom w:val="0"/>
      <w:divBdr>
        <w:top w:val="none" w:sz="0" w:space="0" w:color="auto"/>
        <w:left w:val="none" w:sz="0" w:space="0" w:color="auto"/>
        <w:bottom w:val="none" w:sz="0" w:space="0" w:color="auto"/>
        <w:right w:val="none" w:sz="0" w:space="0" w:color="auto"/>
      </w:divBdr>
    </w:div>
    <w:div w:id="1206021653">
      <w:bodyDiv w:val="1"/>
      <w:marLeft w:val="0"/>
      <w:marRight w:val="0"/>
      <w:marTop w:val="0"/>
      <w:marBottom w:val="0"/>
      <w:divBdr>
        <w:top w:val="none" w:sz="0" w:space="0" w:color="auto"/>
        <w:left w:val="none" w:sz="0" w:space="0" w:color="auto"/>
        <w:bottom w:val="none" w:sz="0" w:space="0" w:color="auto"/>
        <w:right w:val="none" w:sz="0" w:space="0" w:color="auto"/>
      </w:divBdr>
    </w:div>
    <w:div w:id="1250506937">
      <w:bodyDiv w:val="1"/>
      <w:marLeft w:val="0"/>
      <w:marRight w:val="0"/>
      <w:marTop w:val="0"/>
      <w:marBottom w:val="0"/>
      <w:divBdr>
        <w:top w:val="none" w:sz="0" w:space="0" w:color="auto"/>
        <w:left w:val="none" w:sz="0" w:space="0" w:color="auto"/>
        <w:bottom w:val="none" w:sz="0" w:space="0" w:color="auto"/>
        <w:right w:val="none" w:sz="0" w:space="0" w:color="auto"/>
      </w:divBdr>
    </w:div>
    <w:div w:id="1364594496">
      <w:bodyDiv w:val="1"/>
      <w:marLeft w:val="0"/>
      <w:marRight w:val="0"/>
      <w:marTop w:val="0"/>
      <w:marBottom w:val="0"/>
      <w:divBdr>
        <w:top w:val="none" w:sz="0" w:space="0" w:color="auto"/>
        <w:left w:val="none" w:sz="0" w:space="0" w:color="auto"/>
        <w:bottom w:val="none" w:sz="0" w:space="0" w:color="auto"/>
        <w:right w:val="none" w:sz="0" w:space="0" w:color="auto"/>
      </w:divBdr>
    </w:div>
    <w:div w:id="1383869575">
      <w:bodyDiv w:val="1"/>
      <w:marLeft w:val="0"/>
      <w:marRight w:val="0"/>
      <w:marTop w:val="0"/>
      <w:marBottom w:val="0"/>
      <w:divBdr>
        <w:top w:val="none" w:sz="0" w:space="0" w:color="auto"/>
        <w:left w:val="none" w:sz="0" w:space="0" w:color="auto"/>
        <w:bottom w:val="none" w:sz="0" w:space="0" w:color="auto"/>
        <w:right w:val="none" w:sz="0" w:space="0" w:color="auto"/>
      </w:divBdr>
    </w:div>
    <w:div w:id="1614902712">
      <w:bodyDiv w:val="1"/>
      <w:marLeft w:val="0"/>
      <w:marRight w:val="0"/>
      <w:marTop w:val="0"/>
      <w:marBottom w:val="0"/>
      <w:divBdr>
        <w:top w:val="none" w:sz="0" w:space="0" w:color="auto"/>
        <w:left w:val="none" w:sz="0" w:space="0" w:color="auto"/>
        <w:bottom w:val="none" w:sz="0" w:space="0" w:color="auto"/>
        <w:right w:val="none" w:sz="0" w:space="0" w:color="auto"/>
      </w:divBdr>
    </w:div>
    <w:div w:id="1723015561">
      <w:bodyDiv w:val="1"/>
      <w:marLeft w:val="0"/>
      <w:marRight w:val="0"/>
      <w:marTop w:val="0"/>
      <w:marBottom w:val="0"/>
      <w:divBdr>
        <w:top w:val="none" w:sz="0" w:space="0" w:color="auto"/>
        <w:left w:val="none" w:sz="0" w:space="0" w:color="auto"/>
        <w:bottom w:val="none" w:sz="0" w:space="0" w:color="auto"/>
        <w:right w:val="none" w:sz="0" w:space="0" w:color="auto"/>
      </w:divBdr>
    </w:div>
    <w:div w:id="1942057840">
      <w:bodyDiv w:val="1"/>
      <w:marLeft w:val="0"/>
      <w:marRight w:val="0"/>
      <w:marTop w:val="0"/>
      <w:marBottom w:val="0"/>
      <w:divBdr>
        <w:top w:val="none" w:sz="0" w:space="0" w:color="auto"/>
        <w:left w:val="none" w:sz="0" w:space="0" w:color="auto"/>
        <w:bottom w:val="none" w:sz="0" w:space="0" w:color="auto"/>
        <w:right w:val="none" w:sz="0" w:space="0" w:color="auto"/>
      </w:divBdr>
    </w:div>
    <w:div w:id="2102794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eur-lex.europa.eu/eli/reg/2014/651/oj/?locale=L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uFE9A5wpgRleek10smiuZAvY6yA==">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</go:docsCustomData>
</go:gDocsCustomXmlDataStorage>
</file>

<file path=customXml/itemProps1.xml><?xml version="1.0" encoding="utf-8"?>
<ds:datastoreItem xmlns:ds="http://schemas.openxmlformats.org/officeDocument/2006/customXml" ds:itemID="{994BE062-2C3A-40D5-BE68-9F249981A40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26469</Words>
  <Characters>15088</Characters>
  <Application>Microsoft Office Word</Application>
  <DocSecurity>0</DocSecurity>
  <Lines>125</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Anna Pukse 2</cp:lastModifiedBy>
  <cp:revision>13</cp:revision>
  <dcterms:created xsi:type="dcterms:W3CDTF">2022-09-13T19:44:00Z</dcterms:created>
  <dcterms:modified xsi:type="dcterms:W3CDTF">2022-11-02T09:57:00Z</dcterms:modified>
</cp:coreProperties>
</file>